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AD27" w14:textId="02D4D545" w:rsidR="00B96270" w:rsidRPr="000310DF" w:rsidRDefault="00745582" w:rsidP="00507808">
      <w:pPr>
        <w:pStyle w:val="ac"/>
        <w:jc w:val="center"/>
        <w:rPr>
          <w:rFonts w:ascii="Times New Roman" w:hAnsi="Times New Roman" w:cs="Times New Roman"/>
          <w:b/>
          <w:bCs/>
          <w:color w:val="0000FF"/>
          <w:sz w:val="20"/>
          <w:szCs w:val="20"/>
          <w:lang w:val="ro-MD"/>
        </w:rPr>
      </w:pPr>
      <w:r w:rsidRPr="000310DF">
        <w:rPr>
          <w:rFonts w:ascii="Times New Roman" w:hAnsi="Times New Roman" w:cs="Times New Roman"/>
          <w:b/>
          <w:bCs/>
          <w:color w:val="0000FF"/>
          <w:sz w:val="20"/>
          <w:szCs w:val="20"/>
          <w:lang w:val="en-US"/>
        </w:rPr>
        <w:t>NOT</w:t>
      </w:r>
      <w:r w:rsidRPr="000310DF">
        <w:rPr>
          <w:rFonts w:ascii="Times New Roman" w:hAnsi="Times New Roman" w:cs="Times New Roman"/>
          <w:b/>
          <w:bCs/>
          <w:color w:val="0000FF"/>
          <w:sz w:val="20"/>
          <w:szCs w:val="20"/>
          <w:lang w:val="ro-MD"/>
        </w:rPr>
        <w:t>Ă EXPLICATIVĂ LA SITUAȚIILE FINANCIARE</w:t>
      </w:r>
    </w:p>
    <w:p w14:paraId="215853DA" w14:textId="259D396C" w:rsidR="00745582" w:rsidRPr="000310DF" w:rsidRDefault="00745582" w:rsidP="00507808">
      <w:pPr>
        <w:pStyle w:val="ac"/>
        <w:jc w:val="center"/>
        <w:rPr>
          <w:rFonts w:ascii="Times New Roman" w:hAnsi="Times New Roman" w:cs="Times New Roman"/>
          <w:sz w:val="20"/>
          <w:szCs w:val="20"/>
          <w:lang w:val="ro-MD"/>
        </w:rPr>
      </w:pPr>
      <w:r w:rsidRPr="000310DF">
        <w:rPr>
          <w:rFonts w:ascii="Times New Roman" w:hAnsi="Times New Roman" w:cs="Times New Roman"/>
          <w:sz w:val="20"/>
          <w:szCs w:val="20"/>
          <w:lang w:val="ro-MD"/>
        </w:rPr>
        <w:t>____________________</w:t>
      </w:r>
    </w:p>
    <w:p w14:paraId="019BFDA5" w14:textId="68C52D69" w:rsidR="00745582" w:rsidRPr="000310DF" w:rsidRDefault="00745582" w:rsidP="00507808">
      <w:pPr>
        <w:pStyle w:val="ac"/>
        <w:jc w:val="center"/>
        <w:rPr>
          <w:rFonts w:ascii="Times New Roman" w:hAnsi="Times New Roman" w:cs="Times New Roman"/>
          <w:i/>
          <w:iCs/>
          <w:sz w:val="20"/>
          <w:szCs w:val="20"/>
          <w:vertAlign w:val="subscript"/>
          <w:lang w:val="ro-MD"/>
        </w:rPr>
      </w:pPr>
      <w:r w:rsidRPr="000310DF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ro-MD"/>
        </w:rPr>
        <w:t>Denumirea entității</w:t>
      </w:r>
    </w:p>
    <w:p w14:paraId="0B634686" w14:textId="038AC592" w:rsidR="00745582" w:rsidRPr="000310DF" w:rsidRDefault="00745582" w:rsidP="00507808">
      <w:pPr>
        <w:pStyle w:val="ac"/>
        <w:jc w:val="center"/>
        <w:rPr>
          <w:rFonts w:ascii="Times New Roman" w:hAnsi="Times New Roman" w:cs="Times New Roman"/>
          <w:sz w:val="20"/>
          <w:szCs w:val="20"/>
          <w:lang w:val="ro-MD"/>
        </w:rPr>
      </w:pPr>
      <w:r w:rsidRPr="000310DF">
        <w:rPr>
          <w:rFonts w:ascii="Times New Roman" w:hAnsi="Times New Roman" w:cs="Times New Roman"/>
          <w:i/>
          <w:iCs/>
          <w:sz w:val="20"/>
          <w:szCs w:val="20"/>
          <w:lang w:val="ro-MD"/>
        </w:rPr>
        <w:t xml:space="preserve">pentru perioada </w:t>
      </w:r>
      <w:r w:rsidRPr="000310DF">
        <w:rPr>
          <w:rFonts w:ascii="Times New Roman" w:hAnsi="Times New Roman" w:cs="Times New Roman"/>
          <w:sz w:val="20"/>
          <w:szCs w:val="20"/>
          <w:lang w:val="ro-MD"/>
        </w:rPr>
        <w:t>____________________</w:t>
      </w:r>
    </w:p>
    <w:p w14:paraId="7DCA1F38" w14:textId="4E1C957D" w:rsidR="000310DF" w:rsidRPr="000310DF" w:rsidRDefault="000310DF" w:rsidP="00507808">
      <w:pPr>
        <w:pStyle w:val="ac"/>
        <w:jc w:val="center"/>
        <w:rPr>
          <w:rFonts w:ascii="Times New Roman" w:hAnsi="Times New Roman" w:cs="Times New Roman"/>
          <w:sz w:val="20"/>
          <w:szCs w:val="20"/>
          <w:lang w:val="ro-MD"/>
        </w:rPr>
      </w:pPr>
    </w:p>
    <w:p w14:paraId="399FB6D9" w14:textId="342111D6" w:rsidR="000310DF" w:rsidRPr="000310DF" w:rsidRDefault="000310DF" w:rsidP="00507808">
      <w:pPr>
        <w:pStyle w:val="ac"/>
        <w:jc w:val="center"/>
        <w:rPr>
          <w:rFonts w:ascii="Times New Roman" w:hAnsi="Times New Roman" w:cs="Times New Roman"/>
          <w:sz w:val="20"/>
          <w:szCs w:val="20"/>
          <w:lang w:val="ro-MD"/>
        </w:rPr>
      </w:pPr>
      <w:r w:rsidRPr="000310DF">
        <w:rPr>
          <w:rFonts w:ascii="Times New Roman" w:hAnsi="Times New Roman" w:cs="Times New Roman"/>
          <w:sz w:val="20"/>
          <w:szCs w:val="20"/>
          <w:lang w:val="ro-MD"/>
        </w:rPr>
        <w:t>______________________________________________________________     ____________________</w:t>
      </w:r>
    </w:p>
    <w:p w14:paraId="6F6BF50D" w14:textId="6FFDCB88" w:rsidR="00745582" w:rsidRPr="000310DF" w:rsidRDefault="000310DF" w:rsidP="000310DF">
      <w:pPr>
        <w:pStyle w:val="ac"/>
        <w:tabs>
          <w:tab w:val="left" w:pos="8220"/>
        </w:tabs>
        <w:jc w:val="center"/>
        <w:rPr>
          <w:rFonts w:ascii="Times New Roman" w:hAnsi="Times New Roman" w:cs="Times New Roman"/>
          <w:i/>
          <w:iCs/>
          <w:sz w:val="20"/>
          <w:szCs w:val="20"/>
          <w:lang w:val="ro-MD"/>
        </w:rPr>
      </w:pPr>
      <w:r w:rsidRPr="000310DF">
        <w:rPr>
          <w:rFonts w:ascii="Times New Roman" w:hAnsi="Times New Roman" w:cs="Times New Roman"/>
          <w:i/>
          <w:iCs/>
          <w:sz w:val="20"/>
          <w:szCs w:val="20"/>
          <w:lang w:val="ro-MD"/>
        </w:rPr>
        <w:t xml:space="preserve">                                   Activitatea principală                                                             cod CAEM</w:t>
      </w:r>
    </w:p>
    <w:p w14:paraId="40C98C5C" w14:textId="77777777" w:rsidR="000310DF" w:rsidRPr="000310DF" w:rsidRDefault="000310DF" w:rsidP="000310DF">
      <w:pPr>
        <w:pStyle w:val="ac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719CB6F3" w14:textId="256F7ADF" w:rsidR="006A0556" w:rsidRPr="000310DF" w:rsidRDefault="00B96270" w:rsidP="00507808">
      <w:pPr>
        <w:pStyle w:val="ac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Situaţiile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financiare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sînt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întocmite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în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conformitate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cu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prevederile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54791" w:rsidRPr="000310DF">
        <w:rPr>
          <w:rFonts w:ascii="Times New Roman" w:hAnsi="Times New Roman" w:cs="Times New Roman"/>
          <w:sz w:val="20"/>
          <w:szCs w:val="20"/>
          <w:lang w:val="en-US"/>
        </w:rPr>
        <w:t>SNC</w:t>
      </w:r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Abateri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de la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principiile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bază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şi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caracteristicile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calitative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prevăzute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în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54791" w:rsidRPr="000310DF">
        <w:rPr>
          <w:rFonts w:ascii="Times New Roman" w:hAnsi="Times New Roman" w:cs="Times New Roman"/>
          <w:sz w:val="20"/>
          <w:szCs w:val="20"/>
          <w:lang w:val="en-US"/>
        </w:rPr>
        <w:t>SNC</w:t>
      </w:r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nu au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fost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comise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D2DD911" w14:textId="1BB09E15" w:rsidR="004420D6" w:rsidRPr="000310DF" w:rsidRDefault="00B96270" w:rsidP="00507808">
      <w:pPr>
        <w:pStyle w:val="ac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Indicatorii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situaţiilor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financiare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au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fost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determinaţi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în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baza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metodel</w:t>
      </w:r>
      <w:r w:rsidR="00D817CD" w:rsidRPr="000310DF">
        <w:rPr>
          <w:rFonts w:ascii="Times New Roman" w:hAnsi="Times New Roman" w:cs="Times New Roman"/>
          <w:sz w:val="20"/>
          <w:szCs w:val="20"/>
          <w:lang w:val="en-US"/>
        </w:rPr>
        <w:t>or</w:t>
      </w:r>
      <w:proofErr w:type="spellEnd"/>
      <w:r w:rsidR="00D817CD"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817CD" w:rsidRPr="000310DF">
        <w:rPr>
          <w:rFonts w:ascii="Times New Roman" w:hAnsi="Times New Roman" w:cs="Times New Roman"/>
          <w:sz w:val="20"/>
          <w:szCs w:val="20"/>
          <w:lang w:val="en-US"/>
        </w:rPr>
        <w:t>şi</w:t>
      </w:r>
      <w:proofErr w:type="spellEnd"/>
      <w:r w:rsidR="00D817CD"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817CD" w:rsidRPr="000310DF">
        <w:rPr>
          <w:rFonts w:ascii="Times New Roman" w:hAnsi="Times New Roman" w:cs="Times New Roman"/>
          <w:sz w:val="20"/>
          <w:szCs w:val="20"/>
          <w:lang w:val="en-US"/>
        </w:rPr>
        <w:t>procedeelor</w:t>
      </w:r>
      <w:proofErr w:type="spellEnd"/>
      <w:r w:rsidR="00D817CD"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817CD" w:rsidRPr="000310DF">
        <w:rPr>
          <w:rFonts w:ascii="Times New Roman" w:hAnsi="Times New Roman" w:cs="Times New Roman"/>
          <w:sz w:val="20"/>
          <w:szCs w:val="20"/>
          <w:lang w:val="en-US"/>
        </w:rPr>
        <w:t>prevăzute</w:t>
      </w:r>
      <w:proofErr w:type="spellEnd"/>
      <w:r w:rsidR="00D817CD"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817CD" w:rsidRPr="000310DF">
        <w:rPr>
          <w:rFonts w:ascii="Times New Roman" w:hAnsi="Times New Roman" w:cs="Times New Roman"/>
          <w:sz w:val="20"/>
          <w:szCs w:val="20"/>
          <w:lang w:val="en-US"/>
        </w:rPr>
        <w:t>în</w:t>
      </w:r>
      <w:proofErr w:type="spellEnd"/>
      <w:r w:rsidR="00D817CD"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817CD" w:rsidRPr="000310DF">
        <w:rPr>
          <w:rFonts w:ascii="Times New Roman" w:hAnsi="Times New Roman" w:cs="Times New Roman"/>
          <w:sz w:val="20"/>
          <w:szCs w:val="20"/>
          <w:lang w:val="en-US"/>
        </w:rPr>
        <w:t>Politicile</w:t>
      </w:r>
      <w:proofErr w:type="spellEnd"/>
      <w:r w:rsidR="00D817CD"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817CD" w:rsidRPr="000310D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0310DF">
        <w:rPr>
          <w:rFonts w:ascii="Times New Roman" w:hAnsi="Times New Roman" w:cs="Times New Roman"/>
          <w:sz w:val="20"/>
          <w:szCs w:val="20"/>
          <w:lang w:val="en-US"/>
        </w:rPr>
        <w:t>ontabile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aprobate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prin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ordinul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directorului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en-US"/>
        </w:rPr>
        <w:t>entităţii</w:t>
      </w:r>
      <w:proofErr w:type="spellEnd"/>
      <w:r w:rsidR="004420D6" w:rsidRPr="000310DF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242377D9" w14:textId="107E78D9" w:rsidR="00BB26F5" w:rsidRPr="000310DF" w:rsidRDefault="00B96270" w:rsidP="00507808">
      <w:pPr>
        <w:pStyle w:val="ac"/>
        <w:jc w:val="righ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0310D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nr. </w:t>
      </w:r>
      <w:r w:rsidR="004420D6" w:rsidRPr="000310DF">
        <w:rPr>
          <w:rFonts w:ascii="Times New Roman" w:hAnsi="Times New Roman" w:cs="Times New Roman"/>
          <w:b/>
          <w:bCs/>
          <w:sz w:val="20"/>
          <w:szCs w:val="20"/>
          <w:lang w:val="en-US"/>
        </w:rPr>
        <w:t>__________</w:t>
      </w:r>
      <w:r w:rsidR="00B54791" w:rsidRPr="000310D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din </w:t>
      </w:r>
      <w:r w:rsidR="004420D6" w:rsidRPr="000310DF">
        <w:rPr>
          <w:rFonts w:ascii="Times New Roman" w:hAnsi="Times New Roman" w:cs="Times New Roman"/>
          <w:b/>
          <w:bCs/>
          <w:sz w:val="20"/>
          <w:szCs w:val="20"/>
          <w:lang w:val="en-US"/>
        </w:rPr>
        <w:t>_____ ____________________ __________</w:t>
      </w:r>
      <w:r w:rsidRPr="000310D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</w:p>
    <w:p w14:paraId="0DFC6689" w14:textId="77777777" w:rsidR="00507808" w:rsidRPr="000310DF" w:rsidRDefault="00507808" w:rsidP="00507808">
      <w:pPr>
        <w:pStyle w:val="ac"/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</w:pPr>
      <w:r w:rsidRPr="000310DF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  <w:t xml:space="preserve">Nota </w:t>
      </w:r>
      <w:proofErr w:type="spellStart"/>
      <w:r w:rsidRPr="000310DF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  <w:t>explicativă</w:t>
      </w:r>
      <w:proofErr w:type="spellEnd"/>
      <w:r w:rsidRPr="000310DF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  <w:t>conţine</w:t>
      </w:r>
      <w:proofErr w:type="spellEnd"/>
      <w:r w:rsidRPr="000310DF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  <w:t>informaţii</w:t>
      </w:r>
      <w:proofErr w:type="spellEnd"/>
      <w:r w:rsidRPr="000310DF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  <w:t>suplimentare</w:t>
      </w:r>
      <w:proofErr w:type="spellEnd"/>
      <w:r w:rsidRPr="000310DF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  <w:t xml:space="preserve"> care nu </w:t>
      </w:r>
      <w:proofErr w:type="spellStart"/>
      <w:r w:rsidRPr="000310DF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  <w:t>sînt</w:t>
      </w:r>
      <w:proofErr w:type="spellEnd"/>
      <w:r w:rsidRPr="000310DF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  <w:t>incluse</w:t>
      </w:r>
      <w:proofErr w:type="spellEnd"/>
      <w:r w:rsidRPr="000310DF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  <w:t>în</w:t>
      </w:r>
      <w:proofErr w:type="spellEnd"/>
      <w:r w:rsidRPr="000310DF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  <w:t>situaţiile</w:t>
      </w:r>
      <w:proofErr w:type="spellEnd"/>
      <w:r w:rsidRPr="000310DF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  <w:t>financiare</w:t>
      </w:r>
      <w:proofErr w:type="spellEnd"/>
      <w:r w:rsidRPr="000310DF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  <w:t>.</w:t>
      </w:r>
    </w:p>
    <w:p w14:paraId="26F65D67" w14:textId="77777777" w:rsidR="00507808" w:rsidRPr="000310DF" w:rsidRDefault="00507808" w:rsidP="00507808">
      <w:pPr>
        <w:pStyle w:val="ac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0310D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La </w:t>
      </w:r>
      <w:proofErr w:type="spellStart"/>
      <w:r w:rsidRPr="000310DF">
        <w:rPr>
          <w:rFonts w:ascii="Times New Roman" w:hAnsi="Times New Roman" w:cs="Times New Roman"/>
          <w:i/>
          <w:iCs/>
          <w:sz w:val="20"/>
          <w:szCs w:val="20"/>
          <w:lang w:val="en-US"/>
        </w:rPr>
        <w:t>bază</w:t>
      </w:r>
      <w:proofErr w:type="spellEnd"/>
      <w:r w:rsidRPr="000310D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: </w:t>
      </w:r>
      <w:proofErr w:type="spellStart"/>
      <w:r w:rsidRPr="000310DF">
        <w:rPr>
          <w:rFonts w:ascii="Times New Roman" w:hAnsi="Times New Roman" w:cs="Times New Roman"/>
          <w:i/>
          <w:iCs/>
          <w:sz w:val="20"/>
          <w:szCs w:val="20"/>
          <w:lang w:val="en-US"/>
        </w:rPr>
        <w:t>articolul</w:t>
      </w:r>
      <w:proofErr w:type="spellEnd"/>
      <w:r w:rsidRPr="000310D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22 din </w:t>
      </w:r>
      <w:proofErr w:type="spellStart"/>
      <w:r w:rsidRPr="000310DF">
        <w:rPr>
          <w:rFonts w:ascii="Times New Roman" w:hAnsi="Times New Roman" w:cs="Times New Roman"/>
          <w:i/>
          <w:iCs/>
          <w:sz w:val="20"/>
          <w:szCs w:val="20"/>
          <w:lang w:val="en-US"/>
        </w:rPr>
        <w:t>Lege</w:t>
      </w:r>
      <w:proofErr w:type="spellEnd"/>
      <w:r w:rsidRPr="000310DF">
        <w:rPr>
          <w:rFonts w:ascii="Times New Roman" w:hAnsi="Times New Roman" w:cs="Times New Roman"/>
          <w:i/>
          <w:iCs/>
          <w:sz w:val="20"/>
          <w:szCs w:val="20"/>
          <w:lang w:val="ro-MD"/>
        </w:rPr>
        <w:t>a</w:t>
      </w:r>
      <w:r w:rsidRPr="000310D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 Nr. 287/2017 </w:t>
      </w:r>
      <w:proofErr w:type="spellStart"/>
      <w:r w:rsidRPr="000310DF">
        <w:rPr>
          <w:rFonts w:ascii="Times New Roman" w:hAnsi="Times New Roman" w:cs="Times New Roman"/>
          <w:i/>
          <w:iCs/>
          <w:sz w:val="20"/>
          <w:szCs w:val="20"/>
          <w:lang w:val="en-US"/>
        </w:rPr>
        <w:t>contabilităţii</w:t>
      </w:r>
      <w:proofErr w:type="spellEnd"/>
      <w:r w:rsidRPr="000310D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i/>
          <w:iCs/>
          <w:sz w:val="20"/>
          <w:szCs w:val="20"/>
          <w:lang w:val="en-US"/>
        </w:rPr>
        <w:t>și</w:t>
      </w:r>
      <w:proofErr w:type="spellEnd"/>
      <w:r w:rsidRPr="000310D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i/>
          <w:iCs/>
          <w:sz w:val="20"/>
          <w:szCs w:val="20"/>
          <w:lang w:val="en-US"/>
        </w:rPr>
        <w:t>raportării</w:t>
      </w:r>
      <w:proofErr w:type="spellEnd"/>
      <w:r w:rsidRPr="000310D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0310DF">
        <w:rPr>
          <w:rFonts w:ascii="Times New Roman" w:hAnsi="Times New Roman" w:cs="Times New Roman"/>
          <w:i/>
          <w:iCs/>
          <w:sz w:val="20"/>
          <w:szCs w:val="20"/>
          <w:lang w:val="en-US"/>
        </w:rPr>
        <w:t>financiare</w:t>
      </w:r>
      <w:proofErr w:type="spellEnd"/>
      <w:r w:rsidRPr="000310DF">
        <w:rPr>
          <w:rFonts w:ascii="Times New Roman" w:hAnsi="Times New Roman" w:cs="Times New Roman"/>
          <w:i/>
          <w:iCs/>
          <w:sz w:val="20"/>
          <w:szCs w:val="20"/>
          <w:lang w:val="en-US"/>
        </w:rPr>
        <w:t>.</w:t>
      </w:r>
    </w:p>
    <w:p w14:paraId="3C75ECEC" w14:textId="193FAFF7" w:rsidR="000B1A2B" w:rsidRPr="000310DF" w:rsidRDefault="000B1A2B" w:rsidP="00507808">
      <w:pPr>
        <w:pStyle w:val="ac"/>
        <w:rPr>
          <w:rFonts w:ascii="Times New Roman" w:hAnsi="Times New Roman" w:cs="Times New Roman"/>
          <w:sz w:val="20"/>
          <w:szCs w:val="20"/>
          <w:lang w:val="en-US"/>
        </w:rPr>
      </w:pPr>
    </w:p>
    <w:p w14:paraId="0AC45461" w14:textId="546A04C5" w:rsidR="000B1A2B" w:rsidRPr="000310DF" w:rsidRDefault="00B02C7B" w:rsidP="00507808">
      <w:pPr>
        <w:pStyle w:val="ac"/>
        <w:jc w:val="right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0310DF">
        <w:rPr>
          <w:rFonts w:ascii="Times New Roman" w:hAnsi="Times New Roman" w:cs="Times New Roman"/>
          <w:i/>
          <w:sz w:val="20"/>
          <w:szCs w:val="20"/>
          <w:lang w:val="ro-RO"/>
        </w:rPr>
        <w:t>Tabel 1</w:t>
      </w:r>
    </w:p>
    <w:p w14:paraId="0245D6EE" w14:textId="0BEF8748" w:rsidR="00507808" w:rsidRPr="000310DF" w:rsidRDefault="00507808" w:rsidP="00507808">
      <w:pPr>
        <w:pStyle w:val="ac"/>
        <w:jc w:val="center"/>
        <w:rPr>
          <w:rFonts w:ascii="Times New Roman" w:hAnsi="Times New Roman" w:cs="Times New Roman"/>
          <w:b/>
          <w:bCs/>
          <w:color w:val="0000FF"/>
          <w:sz w:val="20"/>
          <w:szCs w:val="20"/>
          <w:lang w:val="en-US"/>
        </w:rPr>
      </w:pPr>
      <w:r w:rsidRPr="000310DF">
        <w:rPr>
          <w:rFonts w:ascii="Times New Roman" w:hAnsi="Times New Roman" w:cs="Times New Roman"/>
          <w:b/>
          <w:bCs/>
          <w:i/>
          <w:color w:val="0000FF"/>
          <w:sz w:val="20"/>
          <w:szCs w:val="20"/>
          <w:lang w:val="ro-RO"/>
        </w:rPr>
        <w:t>INFORMAȚII SUPLIMENTARE LA SITUAȚIILE FINANCIARE</w:t>
      </w:r>
    </w:p>
    <w:p w14:paraId="68B4FC70" w14:textId="77777777" w:rsidR="00B02C7B" w:rsidRPr="000310DF" w:rsidRDefault="00B02C7B" w:rsidP="00507808">
      <w:pPr>
        <w:pStyle w:val="ac"/>
        <w:rPr>
          <w:rFonts w:ascii="Times New Roman" w:hAnsi="Times New Roman" w:cs="Times New Roman"/>
          <w:color w:val="0000FF"/>
          <w:sz w:val="20"/>
          <w:szCs w:val="20"/>
          <w:lang w:val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6379"/>
        <w:gridCol w:w="3280"/>
      </w:tblGrid>
      <w:tr w:rsidR="00311F43" w:rsidRPr="000310DF" w14:paraId="1E8D8448" w14:textId="77777777" w:rsidTr="008F4A43">
        <w:tc>
          <w:tcPr>
            <w:tcW w:w="817" w:type="dxa"/>
          </w:tcPr>
          <w:p w14:paraId="25CEC796" w14:textId="77777777" w:rsidR="00311F43" w:rsidRPr="000310DF" w:rsidRDefault="00311F43" w:rsidP="0050780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N\o</w:t>
            </w:r>
          </w:p>
        </w:tc>
        <w:tc>
          <w:tcPr>
            <w:tcW w:w="6379" w:type="dxa"/>
          </w:tcPr>
          <w:p w14:paraId="08CB94FF" w14:textId="77777777" w:rsidR="00311F43" w:rsidRPr="000310DF" w:rsidRDefault="004C1DFD" w:rsidP="0050780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1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Elemente</w:t>
            </w:r>
            <w:proofErr w:type="spellEnd"/>
            <w:r w:rsidRPr="00031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B54791" w:rsidRPr="00031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proofErr w:type="spellEnd"/>
            <w:r w:rsidRPr="00031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54791" w:rsidRPr="00031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patrimoniu</w:t>
            </w:r>
            <w:proofErr w:type="spellEnd"/>
          </w:p>
        </w:tc>
        <w:tc>
          <w:tcPr>
            <w:tcW w:w="3280" w:type="dxa"/>
          </w:tcPr>
          <w:p w14:paraId="29CC52B4" w14:textId="0DD1FA1B" w:rsidR="00E20D93" w:rsidRPr="000310DF" w:rsidRDefault="00B54791" w:rsidP="0050780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proofErr w:type="spellStart"/>
            <w:r w:rsidRPr="00031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Indicatori</w:t>
            </w:r>
            <w:proofErr w:type="spellEnd"/>
            <w:r w:rsidR="0027769E" w:rsidRPr="000310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/ Descriere</w:t>
            </w:r>
          </w:p>
        </w:tc>
      </w:tr>
      <w:tr w:rsidR="00311F43" w:rsidRPr="000310DF" w14:paraId="39DC42FE" w14:textId="77777777" w:rsidTr="008F4A43">
        <w:tc>
          <w:tcPr>
            <w:tcW w:w="817" w:type="dxa"/>
          </w:tcPr>
          <w:p w14:paraId="36187D2C" w14:textId="655A62A3" w:rsidR="00311F43" w:rsidRPr="000310DF" w:rsidRDefault="00883BFF" w:rsidP="005078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a)</w:t>
            </w:r>
          </w:p>
        </w:tc>
        <w:tc>
          <w:tcPr>
            <w:tcW w:w="6379" w:type="dxa"/>
          </w:tcPr>
          <w:p w14:paraId="6486D19B" w14:textId="3EDD8F98" w:rsidR="00311F43" w:rsidRPr="000310DF" w:rsidRDefault="00702AEC" w:rsidP="00507808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</w:rPr>
              <w:t>Politica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</w:rPr>
              <w:t>contabilității</w:t>
            </w:r>
            <w:proofErr w:type="spellEnd"/>
            <w:r w:rsidR="00883BFF"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;</w:t>
            </w:r>
          </w:p>
        </w:tc>
        <w:tc>
          <w:tcPr>
            <w:tcW w:w="3280" w:type="dxa"/>
          </w:tcPr>
          <w:p w14:paraId="2324123C" w14:textId="4FA8317A" w:rsidR="00311F43" w:rsidRPr="000310DF" w:rsidRDefault="00702AEC" w:rsidP="005078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parcursul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perioadei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gestiune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nu au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fost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operate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modificări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Politicile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Contabile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311F43" w:rsidRPr="000310DF" w14:paraId="3F7083DA" w14:textId="77777777" w:rsidTr="008F4A43">
        <w:tc>
          <w:tcPr>
            <w:tcW w:w="817" w:type="dxa"/>
          </w:tcPr>
          <w:p w14:paraId="5202D0C8" w14:textId="5F477BFE" w:rsidR="00311F43" w:rsidRPr="000310DF" w:rsidRDefault="00883BFF" w:rsidP="005078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b)</w:t>
            </w:r>
          </w:p>
        </w:tc>
        <w:tc>
          <w:tcPr>
            <w:tcW w:w="6379" w:type="dxa"/>
          </w:tcPr>
          <w:p w14:paraId="51105F93" w14:textId="54DA910F" w:rsidR="00311F43" w:rsidRPr="000310DF" w:rsidRDefault="00702AEC" w:rsidP="00507808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Evaluarea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ulterioară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activelor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imobilizate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83BFF"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  <w:proofErr w:type="gramEnd"/>
          </w:p>
        </w:tc>
        <w:tc>
          <w:tcPr>
            <w:tcW w:w="3280" w:type="dxa"/>
          </w:tcPr>
          <w:p w14:paraId="7C2F58D9" w14:textId="5DB1E6A6" w:rsidR="00311F43" w:rsidRPr="000310DF" w:rsidRDefault="00507808" w:rsidP="005078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-</w:t>
            </w:r>
          </w:p>
        </w:tc>
      </w:tr>
      <w:tr w:rsidR="00507808" w:rsidRPr="000310DF" w14:paraId="55CE41EF" w14:textId="77777777" w:rsidTr="008F4A43">
        <w:tc>
          <w:tcPr>
            <w:tcW w:w="817" w:type="dxa"/>
          </w:tcPr>
          <w:p w14:paraId="660D9F88" w14:textId="0FBE963F" w:rsidR="00507808" w:rsidRPr="000310DF" w:rsidRDefault="00883BFF" w:rsidP="00883BFF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6379" w:type="dxa"/>
          </w:tcPr>
          <w:p w14:paraId="33AE04B1" w14:textId="310FC636" w:rsidR="00507808" w:rsidRPr="000310DF" w:rsidRDefault="00507808" w:rsidP="00883BFF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Evaluarea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ulterioară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justă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instrumentelor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financiare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altor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categorii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active</w:t>
            </w:r>
          </w:p>
        </w:tc>
        <w:tc>
          <w:tcPr>
            <w:tcW w:w="3280" w:type="dxa"/>
          </w:tcPr>
          <w:p w14:paraId="35F6BD70" w14:textId="11A996B6" w:rsidR="00507808" w:rsidRPr="000310DF" w:rsidRDefault="00883BFF" w:rsidP="005078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-</w:t>
            </w:r>
          </w:p>
        </w:tc>
      </w:tr>
      <w:tr w:rsidR="00507808" w:rsidRPr="000310DF" w14:paraId="0CDE3108" w14:textId="77777777" w:rsidTr="008F4A43">
        <w:tc>
          <w:tcPr>
            <w:tcW w:w="817" w:type="dxa"/>
          </w:tcPr>
          <w:p w14:paraId="5A7F2852" w14:textId="3A8E710A" w:rsidR="00507808" w:rsidRPr="000310DF" w:rsidRDefault="00883BFF" w:rsidP="005078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d)</w:t>
            </w:r>
          </w:p>
        </w:tc>
        <w:tc>
          <w:tcPr>
            <w:tcW w:w="6379" w:type="dxa"/>
          </w:tcPr>
          <w:p w14:paraId="5B3AC1BB" w14:textId="75FA7A46" w:rsidR="00507808" w:rsidRPr="000310DF" w:rsidRDefault="00507808" w:rsidP="00507808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totală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angajamentelor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financiare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garanțiilor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activelor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datoriilor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contingente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neincluse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bilanț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indicîndu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-se natura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forma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oricărei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garanții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a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fost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acordată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angajamentele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privind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pensiile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către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entitățile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afiliate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asociate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sînt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prezentate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separate;</w:t>
            </w:r>
          </w:p>
        </w:tc>
        <w:tc>
          <w:tcPr>
            <w:tcW w:w="3280" w:type="dxa"/>
          </w:tcPr>
          <w:p w14:paraId="78270B02" w14:textId="042F213A" w:rsidR="00507808" w:rsidRPr="000310DF" w:rsidRDefault="00507808" w:rsidP="005078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-</w:t>
            </w:r>
          </w:p>
        </w:tc>
      </w:tr>
      <w:tr w:rsidR="00507808" w:rsidRPr="000310DF" w14:paraId="0B8F0889" w14:textId="77777777" w:rsidTr="008F4A43">
        <w:tc>
          <w:tcPr>
            <w:tcW w:w="817" w:type="dxa"/>
          </w:tcPr>
          <w:p w14:paraId="430BC990" w14:textId="0164D1EE" w:rsidR="00507808" w:rsidRPr="000310DF" w:rsidRDefault="00883BFF" w:rsidP="005078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e)</w:t>
            </w:r>
          </w:p>
        </w:tc>
        <w:tc>
          <w:tcPr>
            <w:tcW w:w="6379" w:type="dxa"/>
          </w:tcPr>
          <w:p w14:paraId="364061FE" w14:textId="0BCC9AA5" w:rsidR="00507808" w:rsidRPr="000310DF" w:rsidRDefault="00507808" w:rsidP="00507808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umele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avansurilor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împrumuturilor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acordate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membrilor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consiliului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ai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organului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executiv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ai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celui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supraveghere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cu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indicarea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ratelor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dobînzii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condiţiilor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principale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acordare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acestora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sumelor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rambursate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precum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angajamentelor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asumate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numele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lor sub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garanţii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orice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fel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</w:tc>
        <w:tc>
          <w:tcPr>
            <w:tcW w:w="3280" w:type="dxa"/>
          </w:tcPr>
          <w:p w14:paraId="5EFC2E74" w14:textId="50EC573D" w:rsidR="00507808" w:rsidRPr="000310DF" w:rsidRDefault="00507808" w:rsidP="005078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-</w:t>
            </w:r>
          </w:p>
        </w:tc>
      </w:tr>
      <w:tr w:rsidR="00507808" w:rsidRPr="000310DF" w14:paraId="7999EC6C" w14:textId="77777777" w:rsidTr="008F4A43">
        <w:tc>
          <w:tcPr>
            <w:tcW w:w="817" w:type="dxa"/>
          </w:tcPr>
          <w:p w14:paraId="5E3CF936" w14:textId="1C484A6B" w:rsidR="00507808" w:rsidRPr="000310DF" w:rsidRDefault="00883BFF" w:rsidP="005078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f)</w:t>
            </w:r>
          </w:p>
        </w:tc>
        <w:tc>
          <w:tcPr>
            <w:tcW w:w="6379" w:type="dxa"/>
          </w:tcPr>
          <w:p w14:paraId="6431883F" w14:textId="4067D8F2" w:rsidR="00507808" w:rsidRPr="000310DF" w:rsidRDefault="00507808" w:rsidP="00507808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uantumul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natura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elementelor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individuale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venituri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cheltuieli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au o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mărime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incidență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neordinară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</w:tc>
        <w:tc>
          <w:tcPr>
            <w:tcW w:w="3280" w:type="dxa"/>
          </w:tcPr>
          <w:p w14:paraId="5B44CDD9" w14:textId="26B14DD8" w:rsidR="00507808" w:rsidRPr="000310DF" w:rsidRDefault="00507808" w:rsidP="005078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-</w:t>
            </w:r>
          </w:p>
        </w:tc>
      </w:tr>
      <w:tr w:rsidR="00507808" w:rsidRPr="000310DF" w14:paraId="5283095F" w14:textId="77777777" w:rsidTr="008F4A43">
        <w:tc>
          <w:tcPr>
            <w:tcW w:w="817" w:type="dxa"/>
          </w:tcPr>
          <w:p w14:paraId="210FEF56" w14:textId="04B4FCF7" w:rsidR="00507808" w:rsidRPr="000310DF" w:rsidRDefault="00883BFF" w:rsidP="005078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g)</w:t>
            </w:r>
          </w:p>
        </w:tc>
        <w:tc>
          <w:tcPr>
            <w:tcW w:w="6379" w:type="dxa"/>
          </w:tcPr>
          <w:p w14:paraId="7B5D72B5" w14:textId="27F15A13" w:rsidR="00507808" w:rsidRPr="000310DF" w:rsidRDefault="00507808" w:rsidP="00507808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umele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datoriilor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un termen de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achitare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mare de 5 ani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totală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datoriilor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acoperite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garanții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cu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indicarea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naturii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formei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garanțiilor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</w:tc>
        <w:tc>
          <w:tcPr>
            <w:tcW w:w="3280" w:type="dxa"/>
          </w:tcPr>
          <w:p w14:paraId="4B0679FF" w14:textId="673B5F87" w:rsidR="00507808" w:rsidRPr="000310DF" w:rsidRDefault="00507808" w:rsidP="005078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-</w:t>
            </w:r>
          </w:p>
        </w:tc>
      </w:tr>
      <w:tr w:rsidR="00507808" w:rsidRPr="000310DF" w14:paraId="696B9C7C" w14:textId="77777777" w:rsidTr="008F4A43">
        <w:tc>
          <w:tcPr>
            <w:tcW w:w="817" w:type="dxa"/>
          </w:tcPr>
          <w:p w14:paraId="080B6445" w14:textId="10FD5724" w:rsidR="00507808" w:rsidRPr="000310DF" w:rsidRDefault="00883BFF" w:rsidP="005078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h)</w:t>
            </w:r>
          </w:p>
        </w:tc>
        <w:tc>
          <w:tcPr>
            <w:tcW w:w="6379" w:type="dxa"/>
          </w:tcPr>
          <w:p w14:paraId="38126DFA" w14:textId="7440B574" w:rsidR="00507808" w:rsidRPr="000310DF" w:rsidRDefault="00507808" w:rsidP="00507808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ăscumpărarea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părţilor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sociale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acţiunilor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proprii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cazul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entitatea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nu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întocmește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raportul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conducerii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</w:tc>
        <w:tc>
          <w:tcPr>
            <w:tcW w:w="3280" w:type="dxa"/>
          </w:tcPr>
          <w:p w14:paraId="3611F187" w14:textId="28B6C80B" w:rsidR="00507808" w:rsidRPr="000310DF" w:rsidRDefault="00507808" w:rsidP="005078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-</w:t>
            </w:r>
          </w:p>
        </w:tc>
      </w:tr>
      <w:tr w:rsidR="00507808" w:rsidRPr="000310DF" w14:paraId="7F58D3A2" w14:textId="77777777" w:rsidTr="008F4A43">
        <w:tc>
          <w:tcPr>
            <w:tcW w:w="817" w:type="dxa"/>
          </w:tcPr>
          <w:p w14:paraId="605F3615" w14:textId="0AF6B79A" w:rsidR="00507808" w:rsidRPr="000310DF" w:rsidRDefault="00883BFF" w:rsidP="005078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i)</w:t>
            </w:r>
          </w:p>
        </w:tc>
        <w:tc>
          <w:tcPr>
            <w:tcW w:w="6379" w:type="dxa"/>
          </w:tcPr>
          <w:p w14:paraId="3FAAB931" w14:textId="4253A299" w:rsidR="00507808" w:rsidRPr="000310DF" w:rsidRDefault="00507808" w:rsidP="00507808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E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lementele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individuale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active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datorii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au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legătură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un element din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structura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bilanțului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dacă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nu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sînt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prezentate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distinct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bilanț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</w:tc>
        <w:tc>
          <w:tcPr>
            <w:tcW w:w="3280" w:type="dxa"/>
          </w:tcPr>
          <w:p w14:paraId="138F666B" w14:textId="34F22B62" w:rsidR="00507808" w:rsidRPr="000310DF" w:rsidRDefault="00507808" w:rsidP="005078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-</w:t>
            </w:r>
          </w:p>
        </w:tc>
      </w:tr>
      <w:tr w:rsidR="00507808" w:rsidRPr="000310DF" w14:paraId="3D65F7E6" w14:textId="77777777" w:rsidTr="008F4A43">
        <w:tc>
          <w:tcPr>
            <w:tcW w:w="817" w:type="dxa"/>
          </w:tcPr>
          <w:p w14:paraId="076CB074" w14:textId="7AC33582" w:rsidR="00507808" w:rsidRPr="000310DF" w:rsidRDefault="00883BFF" w:rsidP="005078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j)</w:t>
            </w:r>
          </w:p>
        </w:tc>
        <w:tc>
          <w:tcPr>
            <w:tcW w:w="6379" w:type="dxa"/>
          </w:tcPr>
          <w:p w14:paraId="6FBA0F48" w14:textId="0056A9DD" w:rsidR="00507808" w:rsidRPr="000310DF" w:rsidRDefault="00507808" w:rsidP="00507808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umărul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mediu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salariaților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perioada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gestiune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</w:tc>
        <w:tc>
          <w:tcPr>
            <w:tcW w:w="3280" w:type="dxa"/>
          </w:tcPr>
          <w:p w14:paraId="4FE91F63" w14:textId="4DAEBAAC" w:rsidR="00507808" w:rsidRPr="000310DF" w:rsidRDefault="00507808" w:rsidP="005078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07808" w:rsidRPr="000310DF" w14:paraId="73B986CB" w14:textId="77777777" w:rsidTr="008F4A43">
        <w:tc>
          <w:tcPr>
            <w:tcW w:w="817" w:type="dxa"/>
          </w:tcPr>
          <w:p w14:paraId="50935CDB" w14:textId="7D64ED8D" w:rsidR="00507808" w:rsidRPr="000310DF" w:rsidRDefault="00883BFF" w:rsidP="005078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*</w:t>
            </w:r>
          </w:p>
        </w:tc>
        <w:tc>
          <w:tcPr>
            <w:tcW w:w="6379" w:type="dxa"/>
          </w:tcPr>
          <w:p w14:paraId="405E0BDC" w14:textId="5DE2E5F5" w:rsidR="00507808" w:rsidRPr="000310DF" w:rsidRDefault="00507808" w:rsidP="00507808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Fondul de retribuire;</w:t>
            </w:r>
          </w:p>
        </w:tc>
        <w:tc>
          <w:tcPr>
            <w:tcW w:w="3280" w:type="dxa"/>
          </w:tcPr>
          <w:p w14:paraId="72F9C9A4" w14:textId="433C45A8" w:rsidR="00507808" w:rsidRPr="000310DF" w:rsidRDefault="00507808" w:rsidP="005078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07808" w:rsidRPr="000310DF" w14:paraId="4156B070" w14:textId="77777777" w:rsidTr="008F4A43">
        <w:tc>
          <w:tcPr>
            <w:tcW w:w="817" w:type="dxa"/>
          </w:tcPr>
          <w:p w14:paraId="552D462D" w14:textId="7F7D69EB" w:rsidR="00507808" w:rsidRPr="000310DF" w:rsidRDefault="00883BFF" w:rsidP="005078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**</w:t>
            </w:r>
          </w:p>
        </w:tc>
        <w:tc>
          <w:tcPr>
            <w:tcW w:w="6379" w:type="dxa"/>
          </w:tcPr>
          <w:p w14:paraId="44EA0E47" w14:textId="7E5F0476" w:rsidR="00507808" w:rsidRPr="000310DF" w:rsidRDefault="00507808" w:rsidP="00507808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Rata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lichidității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absolute</w:t>
            </w: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;</w:t>
            </w:r>
          </w:p>
          <w:p w14:paraId="6232A324" w14:textId="2B417F11" w:rsidR="00507808" w:rsidRPr="000310DF" w:rsidRDefault="00507808" w:rsidP="00507808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(La= DB/DC) </w:t>
            </w:r>
          </w:p>
        </w:tc>
        <w:tc>
          <w:tcPr>
            <w:tcW w:w="3280" w:type="dxa"/>
          </w:tcPr>
          <w:p w14:paraId="4BA984C1" w14:textId="7A490A74" w:rsidR="00507808" w:rsidRPr="000310DF" w:rsidRDefault="00507808" w:rsidP="005078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07808" w:rsidRPr="000310DF" w14:paraId="7854FAB8" w14:textId="77777777" w:rsidTr="008F4A43">
        <w:tc>
          <w:tcPr>
            <w:tcW w:w="817" w:type="dxa"/>
          </w:tcPr>
          <w:p w14:paraId="35BB87BD" w14:textId="1AA85132" w:rsidR="00507808" w:rsidRPr="000310DF" w:rsidRDefault="00883BFF" w:rsidP="005078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***</w:t>
            </w:r>
          </w:p>
        </w:tc>
        <w:tc>
          <w:tcPr>
            <w:tcW w:w="6379" w:type="dxa"/>
          </w:tcPr>
          <w:p w14:paraId="76532956" w14:textId="1E3B167C" w:rsidR="00507808" w:rsidRPr="000310DF" w:rsidRDefault="00507808" w:rsidP="00507808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Lichiditatea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totală</w:t>
            </w:r>
            <w:proofErr w:type="spellEnd"/>
            <w:r w:rsidRPr="000310D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;</w:t>
            </w:r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65B39D" w14:textId="77777777" w:rsidR="00507808" w:rsidRPr="000310DF" w:rsidRDefault="00507808" w:rsidP="00507808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1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(Lt=TAC/DC)</w:t>
            </w:r>
          </w:p>
        </w:tc>
        <w:tc>
          <w:tcPr>
            <w:tcW w:w="3280" w:type="dxa"/>
          </w:tcPr>
          <w:p w14:paraId="2BA8731D" w14:textId="5F230ED5" w:rsidR="00507808" w:rsidRPr="000310DF" w:rsidRDefault="00507808" w:rsidP="0050780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</w:tbl>
    <w:p w14:paraId="5F2552F1" w14:textId="77777777" w:rsidR="00507808" w:rsidRPr="000310DF" w:rsidRDefault="00507808" w:rsidP="00507808">
      <w:pPr>
        <w:pStyle w:val="ac"/>
        <w:rPr>
          <w:rFonts w:ascii="Times New Roman" w:hAnsi="Times New Roman" w:cs="Times New Roman"/>
          <w:iCs/>
          <w:sz w:val="20"/>
          <w:szCs w:val="20"/>
          <w:lang w:val="ro-RO"/>
        </w:rPr>
      </w:pPr>
    </w:p>
    <w:p w14:paraId="1435CE55" w14:textId="09454E03" w:rsidR="004420D6" w:rsidRPr="000310DF" w:rsidRDefault="004420D6" w:rsidP="00507808">
      <w:pPr>
        <w:pStyle w:val="ac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  <w:r w:rsidRPr="000310DF">
        <w:rPr>
          <w:rFonts w:ascii="Times New Roman" w:hAnsi="Times New Roman" w:cs="Times New Roman"/>
          <w:sz w:val="20"/>
          <w:szCs w:val="20"/>
          <w:lang w:val="ro-RO"/>
        </w:rPr>
        <w:t xml:space="preserve">Nota explicativă detaliază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ro-RO"/>
        </w:rPr>
        <w:t>şi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ro-RO"/>
        </w:rPr>
        <w:t xml:space="preserve"> concretizează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ro-RO"/>
        </w:rPr>
        <w:t>informaţiile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ro-RO"/>
        </w:rPr>
        <w:t xml:space="preserve"> din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ro-RO"/>
        </w:rPr>
        <w:t>bilanţ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ro-RO"/>
        </w:rPr>
        <w:t xml:space="preserve">/bilanțul prescurtat,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ro-RO"/>
        </w:rPr>
        <w:t>situaţia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ro-RO"/>
        </w:rPr>
        <w:t xml:space="preserve"> de profit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ro-RO"/>
        </w:rPr>
        <w:t>şi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ro-RO"/>
        </w:rPr>
        <w:t xml:space="preserve"> pierdere/situația de profit și pierdere prescurtată,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ro-RO"/>
        </w:rPr>
        <w:t>situaţia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ro-RO"/>
        </w:rPr>
        <w:t xml:space="preserve"> modificărilor capitalului propriu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ro-RO"/>
        </w:rPr>
        <w:t>şi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ro-RO"/>
        </w:rPr>
        <w:t>situaţia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ro-RO"/>
        </w:rPr>
        <w:t xml:space="preserve"> fluxurilor de numerar.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ro-RO"/>
        </w:rPr>
        <w:t>Conţinutul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ro-RO"/>
        </w:rPr>
        <w:t xml:space="preserve"> notei explicative pentru diferite categorii de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ro-RO"/>
        </w:rPr>
        <w:t>entităţi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ro-RO"/>
        </w:rPr>
        <w:t xml:space="preserve"> este stabilit de Legea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ro-RO"/>
        </w:rPr>
        <w:t>contabilităţii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ro-RO"/>
        </w:rPr>
        <w:t xml:space="preserve"> și raportării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ro-RO"/>
        </w:rPr>
        <w:t>fianciare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ro-RO"/>
        </w:rPr>
        <w:t>şi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ro-RO"/>
        </w:rPr>
        <w:t xml:space="preserve"> Standardele </w:t>
      </w:r>
      <w:proofErr w:type="spellStart"/>
      <w:r w:rsidRPr="000310DF">
        <w:rPr>
          <w:rFonts w:ascii="Times New Roman" w:hAnsi="Times New Roman" w:cs="Times New Roman"/>
          <w:sz w:val="20"/>
          <w:szCs w:val="20"/>
          <w:lang w:val="ro-RO"/>
        </w:rPr>
        <w:t>Naţionale</w:t>
      </w:r>
      <w:proofErr w:type="spellEnd"/>
      <w:r w:rsidRPr="000310DF">
        <w:rPr>
          <w:rFonts w:ascii="Times New Roman" w:hAnsi="Times New Roman" w:cs="Times New Roman"/>
          <w:sz w:val="20"/>
          <w:szCs w:val="20"/>
          <w:lang w:val="ro-RO"/>
        </w:rPr>
        <w:t xml:space="preserve"> de Contabilitate. </w:t>
      </w:r>
      <w:r w:rsidRPr="000310DF">
        <w:rPr>
          <w:rFonts w:ascii="Times New Roman" w:hAnsi="Times New Roman" w:cs="Times New Roman"/>
          <w:i/>
          <w:iCs/>
          <w:sz w:val="20"/>
          <w:szCs w:val="20"/>
          <w:lang w:val="ro-RO"/>
        </w:rPr>
        <w:t>(pct. 225 din SNC „Prezentarea situațiilor financiare”)</w:t>
      </w:r>
    </w:p>
    <w:p w14:paraId="6FB3FFEA" w14:textId="77777777" w:rsidR="004420D6" w:rsidRPr="000310DF" w:rsidRDefault="004420D6" w:rsidP="00507808">
      <w:pPr>
        <w:pStyle w:val="ac"/>
        <w:rPr>
          <w:rFonts w:ascii="Times New Roman" w:hAnsi="Times New Roman" w:cs="Times New Roman"/>
          <w:sz w:val="20"/>
          <w:szCs w:val="20"/>
          <w:lang w:val="ro-RO"/>
        </w:rPr>
      </w:pPr>
    </w:p>
    <w:p w14:paraId="43B0E8C8" w14:textId="79409D40" w:rsidR="00B02C7B" w:rsidRPr="000310DF" w:rsidRDefault="00B02C7B" w:rsidP="00883BFF">
      <w:pPr>
        <w:pStyle w:val="ac"/>
        <w:jc w:val="right"/>
        <w:rPr>
          <w:rFonts w:ascii="Times New Roman" w:hAnsi="Times New Roman" w:cs="Times New Roman"/>
          <w:b/>
          <w:bCs/>
          <w:color w:val="0000FF"/>
          <w:sz w:val="20"/>
          <w:szCs w:val="20"/>
          <w:lang w:val="ro-RO"/>
        </w:rPr>
      </w:pPr>
      <w:r w:rsidRPr="000310DF">
        <w:rPr>
          <w:rFonts w:ascii="Times New Roman" w:hAnsi="Times New Roman" w:cs="Times New Roman"/>
          <w:b/>
          <w:bCs/>
          <w:color w:val="0000FF"/>
          <w:sz w:val="20"/>
          <w:szCs w:val="20"/>
          <w:lang w:val="ro-RO"/>
        </w:rPr>
        <w:t xml:space="preserve">Administrator: </w:t>
      </w:r>
      <w:r w:rsidR="00883BFF" w:rsidRPr="000310DF">
        <w:rPr>
          <w:rFonts w:ascii="Times New Roman" w:hAnsi="Times New Roman" w:cs="Times New Roman"/>
          <w:b/>
          <w:bCs/>
          <w:color w:val="0000FF"/>
          <w:sz w:val="20"/>
          <w:szCs w:val="20"/>
          <w:lang w:val="ro-RO"/>
        </w:rPr>
        <w:t>BUBLIȚCHI</w:t>
      </w:r>
      <w:r w:rsidR="00781076" w:rsidRPr="000310DF">
        <w:rPr>
          <w:rFonts w:ascii="Times New Roman" w:hAnsi="Times New Roman" w:cs="Times New Roman"/>
          <w:b/>
          <w:bCs/>
          <w:color w:val="0000FF"/>
          <w:sz w:val="20"/>
          <w:szCs w:val="20"/>
          <w:lang w:val="ro-RO"/>
        </w:rPr>
        <w:t xml:space="preserve"> ALEXANDRU</w:t>
      </w:r>
    </w:p>
    <w:p w14:paraId="4A01FB3F" w14:textId="4D9E0EF7" w:rsidR="00B02C7B" w:rsidRPr="000310DF" w:rsidRDefault="00B02C7B" w:rsidP="00507808">
      <w:pPr>
        <w:pStyle w:val="ac"/>
        <w:rPr>
          <w:rFonts w:ascii="Times New Roman" w:hAnsi="Times New Roman" w:cs="Times New Roman"/>
          <w:i/>
          <w:iCs/>
          <w:color w:val="0033CC"/>
          <w:sz w:val="20"/>
          <w:szCs w:val="20"/>
          <w:lang w:val="ro-RO"/>
        </w:rPr>
      </w:pPr>
      <w:r w:rsidRPr="000310DF">
        <w:rPr>
          <w:rFonts w:ascii="Times New Roman" w:hAnsi="Times New Roman" w:cs="Times New Roman"/>
          <w:i/>
          <w:iCs/>
          <w:color w:val="0033CC"/>
          <w:sz w:val="20"/>
          <w:szCs w:val="20"/>
          <w:lang w:val="ro-RO"/>
        </w:rPr>
        <w:t>DB: disponibilități bănești</w:t>
      </w:r>
    </w:p>
    <w:p w14:paraId="3AA32761" w14:textId="5553E1AD" w:rsidR="00B02C7B" w:rsidRPr="000310DF" w:rsidRDefault="00B02C7B" w:rsidP="00507808">
      <w:pPr>
        <w:pStyle w:val="ac"/>
        <w:rPr>
          <w:rFonts w:ascii="Times New Roman" w:hAnsi="Times New Roman" w:cs="Times New Roman"/>
          <w:i/>
          <w:iCs/>
          <w:color w:val="0033CC"/>
          <w:sz w:val="20"/>
          <w:szCs w:val="20"/>
          <w:lang w:val="ro-RO"/>
        </w:rPr>
      </w:pPr>
      <w:r w:rsidRPr="000310DF">
        <w:rPr>
          <w:rFonts w:ascii="Times New Roman" w:hAnsi="Times New Roman" w:cs="Times New Roman"/>
          <w:i/>
          <w:iCs/>
          <w:color w:val="0033CC"/>
          <w:sz w:val="20"/>
          <w:szCs w:val="20"/>
          <w:lang w:val="ro-RO"/>
        </w:rPr>
        <w:t>DC: datorii curente</w:t>
      </w:r>
    </w:p>
    <w:p w14:paraId="0E058D81" w14:textId="4FABB4D6" w:rsidR="00B02C7B" w:rsidRPr="000310DF" w:rsidRDefault="00B02C7B" w:rsidP="00507808">
      <w:pPr>
        <w:pStyle w:val="ac"/>
        <w:rPr>
          <w:rFonts w:ascii="Times New Roman" w:hAnsi="Times New Roman" w:cs="Times New Roman"/>
          <w:i/>
          <w:color w:val="0033CC"/>
          <w:sz w:val="20"/>
          <w:szCs w:val="20"/>
          <w:lang w:val="en-US"/>
        </w:rPr>
      </w:pPr>
      <w:r w:rsidRPr="000310DF">
        <w:rPr>
          <w:rFonts w:ascii="Times New Roman" w:hAnsi="Times New Roman" w:cs="Times New Roman"/>
          <w:i/>
          <w:iCs/>
          <w:color w:val="0033CC"/>
          <w:sz w:val="20"/>
          <w:szCs w:val="20"/>
          <w:lang w:val="ro-RO"/>
        </w:rPr>
        <w:t xml:space="preserve">TAC: </w:t>
      </w:r>
      <w:r w:rsidR="00883BFF" w:rsidRPr="000310DF">
        <w:rPr>
          <w:rFonts w:ascii="Times New Roman" w:hAnsi="Times New Roman" w:cs="Times New Roman"/>
          <w:i/>
          <w:iCs/>
          <w:color w:val="0033CC"/>
          <w:sz w:val="20"/>
          <w:szCs w:val="20"/>
          <w:lang w:val="ro-RO"/>
        </w:rPr>
        <w:t>t</w:t>
      </w:r>
      <w:r w:rsidRPr="000310DF">
        <w:rPr>
          <w:rFonts w:ascii="Times New Roman" w:hAnsi="Times New Roman" w:cs="Times New Roman"/>
          <w:i/>
          <w:iCs/>
          <w:color w:val="0033CC"/>
          <w:sz w:val="20"/>
          <w:szCs w:val="20"/>
          <w:lang w:val="ro-RO"/>
        </w:rPr>
        <w:t>otal active circulante</w:t>
      </w:r>
    </w:p>
    <w:sectPr w:rsidR="00B02C7B" w:rsidRPr="000310DF" w:rsidSect="007309EA">
      <w:footerReference w:type="even" r:id="rId7"/>
      <w:footerReference w:type="default" r:id="rId8"/>
      <w:pgSz w:w="11906" w:h="16838"/>
      <w:pgMar w:top="450" w:right="56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539F3" w14:textId="77777777" w:rsidR="00362475" w:rsidRDefault="00362475" w:rsidP="0024403C">
      <w:pPr>
        <w:spacing w:after="0" w:line="240" w:lineRule="auto"/>
      </w:pPr>
      <w:r>
        <w:separator/>
      </w:r>
    </w:p>
  </w:endnote>
  <w:endnote w:type="continuationSeparator" w:id="0">
    <w:p w14:paraId="6646EBF6" w14:textId="77777777" w:rsidR="00362475" w:rsidRDefault="00362475" w:rsidP="00244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1209" w14:textId="77777777" w:rsidR="00725DB2" w:rsidRDefault="00D72227" w:rsidP="00025BF9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A21A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47AAE7" w14:textId="77777777" w:rsidR="00725DB2" w:rsidRDefault="00362475" w:rsidP="00003E4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3306E" w14:textId="77777777" w:rsidR="00725DB2" w:rsidRDefault="00D72227" w:rsidP="00025BF9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A21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66FC">
      <w:rPr>
        <w:rStyle w:val="a5"/>
        <w:noProof/>
      </w:rPr>
      <w:t>1</w:t>
    </w:r>
    <w:r>
      <w:rPr>
        <w:rStyle w:val="a5"/>
      </w:rPr>
      <w:fldChar w:fldCharType="end"/>
    </w:r>
  </w:p>
  <w:p w14:paraId="3CF5ABE0" w14:textId="77777777" w:rsidR="00725DB2" w:rsidRDefault="00362475" w:rsidP="00003E4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E427C" w14:textId="77777777" w:rsidR="00362475" w:rsidRDefault="00362475" w:rsidP="0024403C">
      <w:pPr>
        <w:spacing w:after="0" w:line="240" w:lineRule="auto"/>
      </w:pPr>
      <w:r>
        <w:separator/>
      </w:r>
    </w:p>
  </w:footnote>
  <w:footnote w:type="continuationSeparator" w:id="0">
    <w:p w14:paraId="23936205" w14:textId="77777777" w:rsidR="00362475" w:rsidRDefault="00362475" w:rsidP="00244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A64F1"/>
    <w:multiLevelType w:val="hybridMultilevel"/>
    <w:tmpl w:val="F692D41A"/>
    <w:lvl w:ilvl="0" w:tplc="FC9EE52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659BB"/>
    <w:multiLevelType w:val="hybridMultilevel"/>
    <w:tmpl w:val="1CAC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270"/>
    <w:rsid w:val="000001D2"/>
    <w:rsid w:val="000310DF"/>
    <w:rsid w:val="000537DD"/>
    <w:rsid w:val="000B1A2B"/>
    <w:rsid w:val="000C5ACE"/>
    <w:rsid w:val="000D7447"/>
    <w:rsid w:val="00132F1F"/>
    <w:rsid w:val="00164721"/>
    <w:rsid w:val="001844E7"/>
    <w:rsid w:val="0024403C"/>
    <w:rsid w:val="002544C7"/>
    <w:rsid w:val="00254B06"/>
    <w:rsid w:val="00263099"/>
    <w:rsid w:val="002737B0"/>
    <w:rsid w:val="0027769E"/>
    <w:rsid w:val="00290303"/>
    <w:rsid w:val="002A21AE"/>
    <w:rsid w:val="00306A66"/>
    <w:rsid w:val="00311F43"/>
    <w:rsid w:val="00313164"/>
    <w:rsid w:val="00330C3E"/>
    <w:rsid w:val="00350D1C"/>
    <w:rsid w:val="00352C1E"/>
    <w:rsid w:val="00362475"/>
    <w:rsid w:val="00363984"/>
    <w:rsid w:val="003E5C41"/>
    <w:rsid w:val="00413C74"/>
    <w:rsid w:val="00423F58"/>
    <w:rsid w:val="004420D6"/>
    <w:rsid w:val="004633F2"/>
    <w:rsid w:val="004A09C0"/>
    <w:rsid w:val="004A7729"/>
    <w:rsid w:val="004A7DFB"/>
    <w:rsid w:val="004B49CB"/>
    <w:rsid w:val="004C1DFD"/>
    <w:rsid w:val="00507808"/>
    <w:rsid w:val="0052332F"/>
    <w:rsid w:val="005366B7"/>
    <w:rsid w:val="00567A76"/>
    <w:rsid w:val="0059082E"/>
    <w:rsid w:val="0059190F"/>
    <w:rsid w:val="00627FFA"/>
    <w:rsid w:val="00655687"/>
    <w:rsid w:val="00660D05"/>
    <w:rsid w:val="006650E9"/>
    <w:rsid w:val="00692A0E"/>
    <w:rsid w:val="006A0556"/>
    <w:rsid w:val="006E007D"/>
    <w:rsid w:val="00702AEC"/>
    <w:rsid w:val="00745582"/>
    <w:rsid w:val="00781076"/>
    <w:rsid w:val="007E2BB5"/>
    <w:rsid w:val="008170ED"/>
    <w:rsid w:val="008408CE"/>
    <w:rsid w:val="00846A8A"/>
    <w:rsid w:val="00883BFF"/>
    <w:rsid w:val="008A33C7"/>
    <w:rsid w:val="008E796E"/>
    <w:rsid w:val="008F4A43"/>
    <w:rsid w:val="008F6332"/>
    <w:rsid w:val="009144B7"/>
    <w:rsid w:val="009230D8"/>
    <w:rsid w:val="00941D1F"/>
    <w:rsid w:val="009802DC"/>
    <w:rsid w:val="009D5CDE"/>
    <w:rsid w:val="009F365E"/>
    <w:rsid w:val="00A14E81"/>
    <w:rsid w:val="00A509A2"/>
    <w:rsid w:val="00A621B0"/>
    <w:rsid w:val="00A76977"/>
    <w:rsid w:val="00AB5013"/>
    <w:rsid w:val="00AC041D"/>
    <w:rsid w:val="00AE4920"/>
    <w:rsid w:val="00B02C7B"/>
    <w:rsid w:val="00B54791"/>
    <w:rsid w:val="00B577C8"/>
    <w:rsid w:val="00B96270"/>
    <w:rsid w:val="00BB26F5"/>
    <w:rsid w:val="00BB5328"/>
    <w:rsid w:val="00BE1107"/>
    <w:rsid w:val="00BE4AFF"/>
    <w:rsid w:val="00C40226"/>
    <w:rsid w:val="00C60B3C"/>
    <w:rsid w:val="00C92721"/>
    <w:rsid w:val="00CB58E4"/>
    <w:rsid w:val="00D21483"/>
    <w:rsid w:val="00D72227"/>
    <w:rsid w:val="00D817CD"/>
    <w:rsid w:val="00D87B67"/>
    <w:rsid w:val="00E14593"/>
    <w:rsid w:val="00E20D93"/>
    <w:rsid w:val="00E32399"/>
    <w:rsid w:val="00E3354C"/>
    <w:rsid w:val="00E4119B"/>
    <w:rsid w:val="00E624AC"/>
    <w:rsid w:val="00EB182F"/>
    <w:rsid w:val="00EC1511"/>
    <w:rsid w:val="00ED17EA"/>
    <w:rsid w:val="00F3065A"/>
    <w:rsid w:val="00F766FC"/>
    <w:rsid w:val="00FF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3064"/>
  <w15:docId w15:val="{6C6E5A20-6067-464E-A3DD-78D3A8CF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03C"/>
  </w:style>
  <w:style w:type="paragraph" w:styleId="4">
    <w:name w:val="heading 4"/>
    <w:basedOn w:val="a"/>
    <w:link w:val="40"/>
    <w:uiPriority w:val="9"/>
    <w:qFormat/>
    <w:rsid w:val="007455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962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B9627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B96270"/>
    <w:rPr>
      <w:rFonts w:cs="Times New Roman"/>
    </w:rPr>
  </w:style>
  <w:style w:type="paragraph" w:styleId="a6">
    <w:name w:val="Body Text"/>
    <w:basedOn w:val="a"/>
    <w:link w:val="a7"/>
    <w:rsid w:val="00352C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a7">
    <w:name w:val="Основной текст Знак"/>
    <w:basedOn w:val="a0"/>
    <w:link w:val="a6"/>
    <w:rsid w:val="00352C1E"/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paragraph" w:styleId="a8">
    <w:name w:val="List Paragraph"/>
    <w:basedOn w:val="a"/>
    <w:uiPriority w:val="34"/>
    <w:qFormat/>
    <w:rsid w:val="009802D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2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7FF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11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BB26F5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A62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webform-padding-sm">
    <w:name w:val="webform-padding-sm"/>
    <w:basedOn w:val="a"/>
    <w:rsid w:val="000B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webform-bold">
    <w:name w:val="webform-bold"/>
    <w:basedOn w:val="a0"/>
    <w:rsid w:val="000B1A2B"/>
  </w:style>
  <w:style w:type="character" w:customStyle="1" w:styleId="text">
    <w:name w:val="text"/>
    <w:basedOn w:val="a0"/>
    <w:rsid w:val="000B1A2B"/>
  </w:style>
  <w:style w:type="character" w:customStyle="1" w:styleId="custom">
    <w:name w:val="custom"/>
    <w:basedOn w:val="a0"/>
    <w:rsid w:val="000B1A2B"/>
  </w:style>
  <w:style w:type="character" w:customStyle="1" w:styleId="40">
    <w:name w:val="Заголовок 4 Знак"/>
    <w:basedOn w:val="a0"/>
    <w:link w:val="4"/>
    <w:uiPriority w:val="9"/>
    <w:rsid w:val="00745582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rsid w:val="00745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User</cp:lastModifiedBy>
  <cp:revision>54</cp:revision>
  <cp:lastPrinted>2025-01-11T10:49:00Z</cp:lastPrinted>
  <dcterms:created xsi:type="dcterms:W3CDTF">2016-03-21T17:26:00Z</dcterms:created>
  <dcterms:modified xsi:type="dcterms:W3CDTF">2025-09-10T18:04:00Z</dcterms:modified>
</cp:coreProperties>
</file>