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2735" w14:textId="04A408B5" w:rsidR="004219E5" w:rsidRPr="00D9318D" w:rsidRDefault="004219E5" w:rsidP="004219E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D120B8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D120B8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50B50FDE" w14:textId="77777777" w:rsidR="004219E5" w:rsidRPr="00D9318D" w:rsidRDefault="004219E5" w:rsidP="004219E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2E9BE7" w14:textId="77777777" w:rsidR="004219E5" w:rsidRDefault="004219E5" w:rsidP="004A2B7B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101FC81C" w14:textId="77777777" w:rsidR="004219E5" w:rsidRDefault="004219E5" w:rsidP="00421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E4C8FD2" w14:textId="77777777" w:rsidR="004219E5" w:rsidRDefault="004219E5" w:rsidP="00421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36473A" w14:textId="425AD187" w:rsidR="004219E5" w:rsidRPr="00D9318D" w:rsidRDefault="004219E5" w:rsidP="00421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1F57510B" w14:textId="77777777" w:rsidR="004219E5" w:rsidRDefault="004219E5" w:rsidP="004219E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CCC5B8" w14:textId="77777777" w:rsidR="004219E5" w:rsidRDefault="004219E5" w:rsidP="004219E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CA22ED" w14:textId="312501CF" w:rsidR="004219E5" w:rsidRPr="00474942" w:rsidRDefault="00EB1E73" w:rsidP="004219E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din ___ ____________________ 20_</w:t>
      </w:r>
      <w:r w:rsidR="004219E5"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</w:t>
      </w:r>
      <w:r w:rsidR="00421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_____. _____________________________</w:t>
      </w:r>
    </w:p>
    <w:p w14:paraId="59F8CFB2" w14:textId="77777777" w:rsidR="00750750" w:rsidRDefault="00D83309" w:rsidP="00091DC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091DC0">
        <w:rPr>
          <w:rFonts w:ascii="Times New Roman" w:hAnsi="Times New Roman" w:cs="Times New Roman"/>
          <w:b/>
          <w:sz w:val="24"/>
          <w:szCs w:val="24"/>
          <w:lang w:val="en-US" w:eastAsia="ru-RU"/>
        </w:rPr>
        <w:t>Despre</w:t>
      </w:r>
      <w:proofErr w:type="spellEnd"/>
      <w:r w:rsidRPr="00091DC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F66C71">
        <w:rPr>
          <w:rFonts w:ascii="Times New Roman" w:hAnsi="Times New Roman" w:cs="Times New Roman"/>
          <w:b/>
          <w:sz w:val="24"/>
          <w:szCs w:val="24"/>
          <w:lang w:val="en-US" w:eastAsia="ru-RU"/>
        </w:rPr>
        <w:t>stabilirea</w:t>
      </w:r>
      <w:proofErr w:type="spellEnd"/>
      <w:r w:rsidRPr="00091DC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750750">
        <w:rPr>
          <w:rFonts w:ascii="Times New Roman" w:hAnsi="Times New Roman" w:cs="Times New Roman"/>
          <w:b/>
          <w:sz w:val="24"/>
          <w:szCs w:val="24"/>
          <w:lang w:val="en-US" w:eastAsia="ru-RU"/>
        </w:rPr>
        <w:t>normelor</w:t>
      </w:r>
      <w:proofErr w:type="spellEnd"/>
      <w:r w:rsidR="0075075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2FB49CCB" w14:textId="169B2C22" w:rsidR="00D83309" w:rsidRPr="00091DC0" w:rsidRDefault="00750750" w:rsidP="00091DC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consum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combustibilului</w:t>
      </w:r>
      <w:proofErr w:type="spellEnd"/>
    </w:p>
    <w:p w14:paraId="703F86A8" w14:textId="77777777" w:rsidR="00AA0619" w:rsidRDefault="00AA0619" w:rsidP="00AA0619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1BB9DCA" w14:textId="77777777" w:rsidR="00AA0619" w:rsidRDefault="00AA0619" w:rsidP="00AA0619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E32B6AF" w14:textId="77777777" w:rsidR="00AA0619" w:rsidRDefault="00AA0619" w:rsidP="00AA0619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9C4ADD7" w14:textId="77777777" w:rsidR="00AA0619" w:rsidRPr="001A5EBA" w:rsidRDefault="00AA0619" w:rsidP="001A5EBA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589A92A5" w14:textId="592EF88A" w:rsidR="00750750" w:rsidRPr="00D120B8" w:rsidRDefault="00750750" w:rsidP="001A5EBA">
      <w:pPr>
        <w:pStyle w:val="a6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La bază: </w:t>
      </w:r>
      <w:proofErr w:type="spellStart"/>
      <w:r w:rsidRPr="001A5EBA">
        <w:rPr>
          <w:rFonts w:ascii="Times New Roman" w:hAnsi="Times New Roman" w:cs="Times New Roman"/>
          <w:i/>
          <w:iCs/>
          <w:sz w:val="24"/>
          <w:szCs w:val="24"/>
          <w:lang w:val="en-US"/>
        </w:rPr>
        <w:t>Ordinul</w:t>
      </w:r>
      <w:proofErr w:type="spellEnd"/>
      <w:r w:rsidRPr="001A5EB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MEI nr. 172/2005 (</w:t>
      </w:r>
      <w:proofErr w:type="spellStart"/>
      <w:r w:rsidRPr="001A5EBA">
        <w:rPr>
          <w:rFonts w:ascii="Times New Roman" w:hAnsi="Times New Roman" w:cs="Times New Roman"/>
          <w:i/>
          <w:iCs/>
          <w:sz w:val="24"/>
          <w:szCs w:val="24"/>
          <w:lang w:val="en-US"/>
        </w:rPr>
        <w:t>modificat</w:t>
      </w:r>
      <w:proofErr w:type="spellEnd"/>
      <w:r w:rsidRPr="001A5EB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A5EBA">
        <w:rPr>
          <w:rFonts w:ascii="Times New Roman" w:hAnsi="Times New Roman" w:cs="Times New Roman"/>
          <w:i/>
          <w:iCs/>
          <w:sz w:val="24"/>
          <w:szCs w:val="24"/>
          <w:lang w:val="en-US"/>
        </w:rPr>
        <w:t>şi</w:t>
      </w:r>
      <w:proofErr w:type="spellEnd"/>
      <w:r w:rsidRPr="001A5EB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A5EBA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completat</w:t>
      </w:r>
      <w:proofErr w:type="spellEnd"/>
      <w:r w:rsidRPr="001A5EB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A5EBA">
        <w:rPr>
          <w:rFonts w:ascii="Times New Roman" w:hAnsi="Times New Roman" w:cs="Times New Roman"/>
          <w:i/>
          <w:iCs/>
          <w:sz w:val="24"/>
          <w:szCs w:val="24"/>
          <w:lang w:val="en-US"/>
        </w:rPr>
        <w:t>prin</w:t>
      </w:r>
      <w:proofErr w:type="spellEnd"/>
      <w:r w:rsidRPr="001A5EB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A5EBA">
        <w:rPr>
          <w:rFonts w:ascii="Times New Roman" w:hAnsi="Times New Roman" w:cs="Times New Roman"/>
          <w:i/>
          <w:iCs/>
          <w:sz w:val="24"/>
          <w:szCs w:val="24"/>
          <w:lang w:val="en-US"/>
        </w:rPr>
        <w:t>Ordinul</w:t>
      </w:r>
      <w:proofErr w:type="spellEnd"/>
      <w:r w:rsidRPr="001A5EB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nr. 348/2018)</w:t>
      </w:r>
    </w:p>
    <w:p w14:paraId="7555DBD5" w14:textId="63AA6303" w:rsidR="001A5EBA" w:rsidRPr="006A5673" w:rsidRDefault="001A5EBA" w:rsidP="001A5EBA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6A5673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6A5673">
        <w:rPr>
          <w:rFonts w:ascii="Times New Roman" w:hAnsi="Times New Roman" w:cs="Times New Roman"/>
          <w:sz w:val="24"/>
          <w:szCs w:val="24"/>
          <w:lang w:val="en-US"/>
        </w:rPr>
        <w:t>stabilesc</w:t>
      </w:r>
      <w:proofErr w:type="spellEnd"/>
      <w:r w:rsidRPr="006A56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6A56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sz w:val="24"/>
          <w:szCs w:val="24"/>
          <w:lang w:val="en-US"/>
        </w:rPr>
        <w:t>norme</w:t>
      </w:r>
      <w:proofErr w:type="spellEnd"/>
      <w:r w:rsidRPr="006A567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A5673">
        <w:rPr>
          <w:rFonts w:ascii="Times New Roman" w:hAnsi="Times New Roman" w:cs="Times New Roman"/>
          <w:sz w:val="24"/>
          <w:szCs w:val="24"/>
          <w:lang w:val="en-US"/>
        </w:rPr>
        <w:t>consum</w:t>
      </w:r>
      <w:proofErr w:type="spellEnd"/>
      <w:r w:rsidRPr="006A567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A5673">
        <w:rPr>
          <w:rFonts w:ascii="Times New Roman" w:hAnsi="Times New Roman" w:cs="Times New Roman"/>
          <w:sz w:val="24"/>
          <w:szCs w:val="24"/>
          <w:lang w:val="en-US"/>
        </w:rPr>
        <w:t>combustibil</w:t>
      </w:r>
      <w:proofErr w:type="spellEnd"/>
      <w:r w:rsidRPr="006A56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A56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sz w:val="24"/>
          <w:szCs w:val="24"/>
          <w:lang w:val="en-US"/>
        </w:rPr>
        <w:t>transportul</w:t>
      </w:r>
      <w:proofErr w:type="spellEnd"/>
      <w:r w:rsidRPr="006A5673">
        <w:rPr>
          <w:rFonts w:ascii="Times New Roman" w:hAnsi="Times New Roman" w:cs="Times New Roman"/>
          <w:sz w:val="24"/>
          <w:szCs w:val="24"/>
          <w:lang w:val="en-US"/>
        </w:rPr>
        <w:t xml:space="preserve"> auto, </w:t>
      </w:r>
      <w:proofErr w:type="spellStart"/>
      <w:r w:rsidRPr="001A5EBA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Pr="001A5E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5EBA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A5E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5EBA">
        <w:rPr>
          <w:rFonts w:ascii="Times New Roman" w:hAnsi="Times New Roman" w:cs="Times New Roman"/>
          <w:sz w:val="24"/>
          <w:szCs w:val="24"/>
          <w:lang w:val="en-US"/>
        </w:rPr>
        <w:t>derularea</w:t>
      </w:r>
      <w:proofErr w:type="spellEnd"/>
      <w:r w:rsidRPr="001A5E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5EBA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1A5EBA">
        <w:rPr>
          <w:rFonts w:ascii="Times New Roman" w:hAnsi="Times New Roman" w:cs="Times New Roman"/>
          <w:sz w:val="24"/>
          <w:szCs w:val="24"/>
          <w:lang w:val="en-US"/>
        </w:rPr>
        <w:t xml:space="preserve"> de transport</w:t>
      </w:r>
      <w:r w:rsidR="00D120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043879" w14:textId="77777777" w:rsidR="00CA5503" w:rsidRPr="006A5673" w:rsidRDefault="00CA5503" w:rsidP="001A5EBA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5"/>
        <w:gridCol w:w="3288"/>
        <w:gridCol w:w="1911"/>
        <w:gridCol w:w="1908"/>
        <w:gridCol w:w="1909"/>
      </w:tblGrid>
      <w:tr w:rsidR="006A5673" w:rsidRPr="006A5673" w14:paraId="4006B4D1" w14:textId="77777777" w:rsidTr="003C7494">
        <w:trPr>
          <w:trHeight w:val="600"/>
        </w:trPr>
        <w:tc>
          <w:tcPr>
            <w:tcW w:w="555" w:type="dxa"/>
            <w:vMerge w:val="restart"/>
          </w:tcPr>
          <w:p w14:paraId="65754B38" w14:textId="77777777" w:rsidR="006A5673" w:rsidRPr="006A5673" w:rsidRDefault="006A5673" w:rsidP="006A567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48B9D97" w14:textId="1FDC6758" w:rsidR="006A5673" w:rsidRPr="006A5673" w:rsidRDefault="006A5673" w:rsidP="006A567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5673">
              <w:rPr>
                <w:rFonts w:ascii="Times New Roman" w:hAnsi="Times New Roman" w:cs="Times New Roman"/>
                <w:b/>
                <w:bCs/>
              </w:rPr>
              <w:t>N/o</w:t>
            </w:r>
          </w:p>
        </w:tc>
        <w:tc>
          <w:tcPr>
            <w:tcW w:w="3288" w:type="dxa"/>
            <w:vMerge w:val="restart"/>
          </w:tcPr>
          <w:p w14:paraId="55138515" w14:textId="77777777" w:rsidR="006A5673" w:rsidRDefault="006A5673" w:rsidP="006A567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295F5A" w14:textId="5FD3A2A5" w:rsidR="006A5673" w:rsidRPr="006A5673" w:rsidRDefault="006A5673" w:rsidP="006A567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673">
              <w:rPr>
                <w:rFonts w:ascii="Times New Roman" w:hAnsi="Times New Roman" w:cs="Times New Roman"/>
                <w:b/>
                <w:bCs/>
              </w:rPr>
              <w:t>Modelul</w:t>
            </w:r>
            <w:proofErr w:type="spellEnd"/>
            <w:r w:rsidRPr="006A567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A5673">
              <w:rPr>
                <w:rFonts w:ascii="Times New Roman" w:hAnsi="Times New Roman" w:cs="Times New Roman"/>
                <w:b/>
                <w:bCs/>
              </w:rPr>
              <w:t>marca</w:t>
            </w:r>
            <w:proofErr w:type="spellEnd"/>
            <w:r w:rsidRPr="006A567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6A5673">
              <w:rPr>
                <w:rFonts w:ascii="Times New Roman" w:hAnsi="Times New Roman" w:cs="Times New Roman"/>
                <w:b/>
                <w:bCs/>
              </w:rPr>
              <w:t>modificaţia</w:t>
            </w:r>
            <w:proofErr w:type="spellEnd"/>
            <w:r w:rsidRPr="006A567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5673">
              <w:rPr>
                <w:rFonts w:ascii="Times New Roman" w:hAnsi="Times New Roman" w:cs="Times New Roman"/>
                <w:b/>
                <w:bCs/>
              </w:rPr>
              <w:t>automobilului</w:t>
            </w:r>
            <w:proofErr w:type="spellEnd"/>
          </w:p>
        </w:tc>
        <w:tc>
          <w:tcPr>
            <w:tcW w:w="3819" w:type="dxa"/>
            <w:gridSpan w:val="2"/>
          </w:tcPr>
          <w:p w14:paraId="41E50AE7" w14:textId="77777777" w:rsidR="006A5673" w:rsidRDefault="006A5673" w:rsidP="006A567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1A091D" w14:textId="680FBBA5" w:rsidR="006A5673" w:rsidRPr="00D120B8" w:rsidRDefault="006A5673" w:rsidP="006A567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20B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Norma de </w:t>
            </w:r>
            <w:proofErr w:type="spellStart"/>
            <w:r w:rsidRPr="00D120B8">
              <w:rPr>
                <w:rFonts w:ascii="Times New Roman" w:hAnsi="Times New Roman" w:cs="Times New Roman"/>
                <w:b/>
                <w:bCs/>
                <w:lang w:val="en-US"/>
              </w:rPr>
              <w:t>bază</w:t>
            </w:r>
            <w:proofErr w:type="spellEnd"/>
            <w:r w:rsidRPr="00D120B8">
              <w:rPr>
                <w:rFonts w:ascii="Times New Roman" w:hAnsi="Times New Roman" w:cs="Times New Roman"/>
                <w:b/>
                <w:bCs/>
                <w:lang w:val="en-US"/>
              </w:rPr>
              <w:t>, l/100</w:t>
            </w:r>
            <w:r w:rsidR="00D120B8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</w:t>
            </w:r>
            <w:r w:rsidRPr="00D120B8">
              <w:rPr>
                <w:rFonts w:ascii="Times New Roman" w:hAnsi="Times New Roman" w:cs="Times New Roman"/>
                <w:b/>
                <w:bCs/>
                <w:lang w:val="en-US"/>
              </w:rPr>
              <w:t>km</w:t>
            </w:r>
          </w:p>
          <w:p w14:paraId="000EC0BD" w14:textId="77777777" w:rsidR="006A5673" w:rsidRPr="00D120B8" w:rsidRDefault="006A5673" w:rsidP="006A567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909" w:type="dxa"/>
            <w:vMerge w:val="restart"/>
          </w:tcPr>
          <w:p w14:paraId="50C20ABC" w14:textId="77777777" w:rsidR="006A5673" w:rsidRPr="00D120B8" w:rsidRDefault="006A5673" w:rsidP="006A567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104CBAE" w14:textId="0AE00F92" w:rsidR="006A5673" w:rsidRPr="006A5673" w:rsidRDefault="006A5673" w:rsidP="006A567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673">
              <w:rPr>
                <w:rFonts w:ascii="Times New Roman" w:hAnsi="Times New Roman" w:cs="Times New Roman"/>
                <w:b/>
                <w:bCs/>
              </w:rPr>
              <w:t>Remarcă</w:t>
            </w:r>
            <w:proofErr w:type="spellEnd"/>
          </w:p>
        </w:tc>
      </w:tr>
      <w:tr w:rsidR="00CA5503" w:rsidRPr="006A5673" w14:paraId="6A4A5875" w14:textId="77777777" w:rsidTr="00CA5503">
        <w:trPr>
          <w:trHeight w:val="480"/>
        </w:trPr>
        <w:tc>
          <w:tcPr>
            <w:tcW w:w="555" w:type="dxa"/>
            <w:vMerge/>
          </w:tcPr>
          <w:p w14:paraId="6411EFA9" w14:textId="77777777" w:rsidR="00CA5503" w:rsidRPr="006A5673" w:rsidRDefault="00CA5503" w:rsidP="006A567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8" w:type="dxa"/>
            <w:vMerge/>
          </w:tcPr>
          <w:p w14:paraId="1F2424BA" w14:textId="77777777" w:rsidR="00CA5503" w:rsidRPr="006A5673" w:rsidRDefault="00CA5503" w:rsidP="006A567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1" w:type="dxa"/>
          </w:tcPr>
          <w:p w14:paraId="48A1B07D" w14:textId="50FC7E03" w:rsidR="00CA5503" w:rsidRPr="006A5673" w:rsidRDefault="00CA5503" w:rsidP="006A567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673">
              <w:rPr>
                <w:rFonts w:ascii="Times New Roman" w:hAnsi="Times New Roman" w:cs="Times New Roman"/>
                <w:b/>
                <w:bCs/>
              </w:rPr>
              <w:t>Vară</w:t>
            </w:r>
            <w:proofErr w:type="spellEnd"/>
          </w:p>
        </w:tc>
        <w:tc>
          <w:tcPr>
            <w:tcW w:w="1908" w:type="dxa"/>
          </w:tcPr>
          <w:p w14:paraId="7DFC78BC" w14:textId="0F023ECA" w:rsidR="00CA5503" w:rsidRPr="006A5673" w:rsidRDefault="00CA5503" w:rsidP="006A567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A5673">
              <w:rPr>
                <w:rFonts w:ascii="Times New Roman" w:hAnsi="Times New Roman" w:cs="Times New Roman"/>
                <w:b/>
                <w:bCs/>
              </w:rPr>
              <w:t>Iarnă</w:t>
            </w:r>
            <w:proofErr w:type="spellEnd"/>
            <w:r w:rsidR="001A5EBA" w:rsidRPr="006A5673">
              <w:rPr>
                <w:rFonts w:ascii="Times New Roman" w:hAnsi="Times New Roman" w:cs="Times New Roman"/>
                <w:b/>
                <w:bCs/>
              </w:rPr>
              <w:t xml:space="preserve"> (10%)</w:t>
            </w:r>
          </w:p>
        </w:tc>
        <w:tc>
          <w:tcPr>
            <w:tcW w:w="1909" w:type="dxa"/>
            <w:vMerge/>
          </w:tcPr>
          <w:p w14:paraId="59B0AF85" w14:textId="77777777" w:rsidR="00CA5503" w:rsidRPr="006A5673" w:rsidRDefault="00CA5503" w:rsidP="006A567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5503" w:rsidRPr="006A5673" w14:paraId="5034C88F" w14:textId="77777777" w:rsidTr="00CA5503">
        <w:tc>
          <w:tcPr>
            <w:tcW w:w="555" w:type="dxa"/>
          </w:tcPr>
          <w:p w14:paraId="5C539EE6" w14:textId="514891D7" w:rsidR="00CA5503" w:rsidRPr="00D120B8" w:rsidRDefault="00D120B8" w:rsidP="006A5673">
            <w:pPr>
              <w:pStyle w:val="a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1.</w:t>
            </w:r>
          </w:p>
        </w:tc>
        <w:tc>
          <w:tcPr>
            <w:tcW w:w="3288" w:type="dxa"/>
          </w:tcPr>
          <w:p w14:paraId="0F03C9C1" w14:textId="327CCB5C" w:rsidR="00CA5503" w:rsidRPr="006A5673" w:rsidRDefault="006A5673" w:rsidP="006A5673">
            <w:pPr>
              <w:pStyle w:val="a6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6A5673">
              <w:rPr>
                <w:rFonts w:ascii="Times New Roman" w:hAnsi="Times New Roman" w:cs="Times New Roman"/>
                <w:lang w:val="en-US"/>
              </w:rPr>
              <w:t>Subaru Legacy Wagon 2.5 (2457 cm3, 156 cm3, 4</w:t>
            </w:r>
            <w:r w:rsidRPr="006A5673">
              <w:rPr>
                <w:rFonts w:ascii="Times New Roman" w:hAnsi="Times New Roman" w:cs="Times New Roman"/>
              </w:rPr>
              <w:t>А</w:t>
            </w:r>
            <w:r w:rsidRPr="006A5673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ro-MD"/>
              </w:rPr>
              <w:t xml:space="preserve"> UUU</w:t>
            </w:r>
            <w:r w:rsidR="00925C64" w:rsidRPr="006A567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11" w:type="dxa"/>
          </w:tcPr>
          <w:p w14:paraId="1F5FAFAE" w14:textId="208EB002" w:rsidR="00CA5503" w:rsidRPr="006A5673" w:rsidRDefault="00925C64" w:rsidP="006A5673">
            <w:pPr>
              <w:pStyle w:val="a6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6A5673">
              <w:rPr>
                <w:rFonts w:ascii="Times New Roman" w:hAnsi="Times New Roman" w:cs="Times New Roman"/>
              </w:rPr>
              <w:t>1</w:t>
            </w:r>
            <w:r w:rsidR="006A5673"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908" w:type="dxa"/>
          </w:tcPr>
          <w:p w14:paraId="34E37363" w14:textId="0D76459B" w:rsidR="00CA5503" w:rsidRPr="006A5673" w:rsidRDefault="00925C64" w:rsidP="006A5673">
            <w:pPr>
              <w:pStyle w:val="a6"/>
              <w:jc w:val="center"/>
              <w:rPr>
                <w:rFonts w:ascii="Times New Roman" w:hAnsi="Times New Roman" w:cs="Times New Roman"/>
                <w:lang w:val="ro-MD"/>
              </w:rPr>
            </w:pPr>
            <w:r w:rsidRPr="006A56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09" w:type="dxa"/>
          </w:tcPr>
          <w:p w14:paraId="14CE7A41" w14:textId="77777777" w:rsidR="00CA5503" w:rsidRPr="006A5673" w:rsidRDefault="00CA5503" w:rsidP="006A567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BC96EB" w14:textId="77777777" w:rsidR="001A5EBA" w:rsidRPr="001A5EBA" w:rsidRDefault="001A5EBA" w:rsidP="001A5EBA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A3802B4" w14:textId="03EFE45B" w:rsidR="001A5EBA" w:rsidRPr="006A5673" w:rsidRDefault="001A5EBA" w:rsidP="001A5EBA">
      <w:pPr>
        <w:pStyle w:val="a6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6A567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Note:</w:t>
      </w:r>
    </w:p>
    <w:p w14:paraId="5A74AA56" w14:textId="77777777" w:rsidR="006A5673" w:rsidRPr="006A5673" w:rsidRDefault="001A5EBA" w:rsidP="006A5673">
      <w:pPr>
        <w:pStyle w:val="a6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Normele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consum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combustibil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se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stabilesc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pentru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fiecare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model,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marcă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sau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modificaţie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automobil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exploatată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şi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corespunde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anumitor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condiţii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funcţionare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mijloacelor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transport auto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conformitate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cu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clasificarea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şi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destinaţia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acestora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. </w:t>
      </w:r>
    </w:p>
    <w:p w14:paraId="3E4F722D" w14:textId="77777777" w:rsidR="006A5673" w:rsidRPr="006A5673" w:rsidRDefault="001A5EBA" w:rsidP="006A5673">
      <w:pPr>
        <w:pStyle w:val="a6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Normele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consum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combustibil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100 km de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parcurs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al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automobilului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sînt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stabilite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următoarele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unităţi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măsură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</w:p>
    <w:p w14:paraId="76CA267A" w14:textId="065AF780" w:rsidR="006A5673" w:rsidRPr="00D120B8" w:rsidRDefault="001A5EBA" w:rsidP="00D120B8">
      <w:pPr>
        <w:pStyle w:val="a6"/>
        <w:numPr>
          <w:ilvl w:val="1"/>
          <w:numId w:val="10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pentru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automobile care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funcţionează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cu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benzină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şi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motorină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litri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benzină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sau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motorină;</w:t>
      </w:r>
      <w:proofErr w:type="spellEnd"/>
    </w:p>
    <w:p w14:paraId="28BCBF3F" w14:textId="3788CED6" w:rsidR="006A5673" w:rsidRPr="00D120B8" w:rsidRDefault="001A5EBA" w:rsidP="00D120B8">
      <w:pPr>
        <w:pStyle w:val="a6"/>
        <w:numPr>
          <w:ilvl w:val="1"/>
          <w:numId w:val="10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pentru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automobile care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funcţionează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cu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gaz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petrolier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lichefiat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gpl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-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litri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gpl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convenţional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1 l de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benzină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corespunde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1,32 l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gpl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);</w:t>
      </w:r>
    </w:p>
    <w:p w14:paraId="2642D1A6" w14:textId="1673C555" w:rsidR="006A5673" w:rsidRPr="00D120B8" w:rsidRDefault="001A5EBA" w:rsidP="00D120B8">
      <w:pPr>
        <w:pStyle w:val="a6"/>
        <w:numPr>
          <w:ilvl w:val="1"/>
          <w:numId w:val="10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pentru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automobile care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funcţionează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cu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gaz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natural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comprimat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gnc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-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metri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cubi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normali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gnc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convenţional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1 l de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benzină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corespunde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1 m3 de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gnc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 w:rsidR="006A5673"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;</w:t>
      </w:r>
    </w:p>
    <w:p w14:paraId="251234FC" w14:textId="7265FC55" w:rsidR="006A5673" w:rsidRPr="00D120B8" w:rsidRDefault="001A5EBA" w:rsidP="00D120B8">
      <w:pPr>
        <w:pStyle w:val="a6"/>
        <w:numPr>
          <w:ilvl w:val="1"/>
          <w:numId w:val="10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pentru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automobile care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funcţionează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cu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gaz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şi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motorină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norma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consum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gaz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natural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comprimat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este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indicată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m3, plus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alături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indică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norma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consum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motorină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litri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raportul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dintre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acestea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determină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către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producătorul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tehnicii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sau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instrucţiunea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exploatare</w:t>
      </w:r>
      <w:proofErr w:type="spellEnd"/>
      <w:r w:rsidRP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).</w:t>
      </w:r>
    </w:p>
    <w:p w14:paraId="0B4F749D" w14:textId="6EB7ECC8" w:rsidR="001A5EBA" w:rsidRPr="006A5673" w:rsidRDefault="001A5EBA" w:rsidP="006A5673">
      <w:pPr>
        <w:pStyle w:val="a6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văzut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majorarea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normelor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consum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combustibil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anumite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condiții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(Pct. 1 din </w:t>
      </w:r>
      <w:proofErr w:type="spellStart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ordin</w:t>
      </w:r>
      <w:r w:rsidR="00D120B8">
        <w:rPr>
          <w:rFonts w:ascii="Times New Roman" w:hAnsi="Times New Roman" w:cs="Times New Roman"/>
          <w:i/>
          <w:iCs/>
          <w:sz w:val="24"/>
          <w:szCs w:val="24"/>
          <w:lang w:val="en-US"/>
        </w:rPr>
        <w:t>u</w:t>
      </w:r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proofErr w:type="spellEnd"/>
      <w:r w:rsidRPr="006A567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MEI nr. 172/2005)</w:t>
      </w:r>
    </w:p>
    <w:p w14:paraId="788C6BC0" w14:textId="77777777" w:rsidR="006A5673" w:rsidRPr="006A5673" w:rsidRDefault="006A5673" w:rsidP="002C6A99">
      <w:pPr>
        <w:pStyle w:val="a6"/>
        <w:rPr>
          <w:rFonts w:ascii="Times New Roman" w:hAnsi="Times New Roman" w:cs="Times New Roman"/>
          <w:i/>
          <w:iCs/>
          <w:lang w:val="en-US"/>
        </w:rPr>
      </w:pPr>
    </w:p>
    <w:p w14:paraId="52E955AA" w14:textId="77777777" w:rsidR="006A5673" w:rsidRPr="006A5673" w:rsidRDefault="006A5673" w:rsidP="002C6A99">
      <w:pPr>
        <w:pStyle w:val="a6"/>
        <w:rPr>
          <w:rFonts w:ascii="Times New Roman" w:hAnsi="Times New Roman" w:cs="Times New Roman"/>
          <w:i/>
          <w:iCs/>
          <w:lang w:val="en-US"/>
        </w:rPr>
      </w:pPr>
    </w:p>
    <w:p w14:paraId="0DE5296E" w14:textId="77777777" w:rsidR="006A5673" w:rsidRDefault="006A5673" w:rsidP="002C6A99">
      <w:pPr>
        <w:pStyle w:val="a6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</w:p>
    <w:p w14:paraId="2C0DC55D" w14:textId="77777777" w:rsidR="006A5673" w:rsidRDefault="006A5673" w:rsidP="002C6A9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2A27D8" w14:textId="32596F40" w:rsidR="002C6A99" w:rsidRDefault="002C6A99" w:rsidP="002C6A9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 </w:t>
      </w:r>
      <w:r w:rsidR="00995B8B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995B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2A4761A9" w14:textId="77777777" w:rsidR="002C6A99" w:rsidRDefault="002C6A99" w:rsidP="002C6A99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Denumire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entitate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Semnătura</w:t>
      </w:r>
      <w:proofErr w:type="spellEnd"/>
    </w:p>
    <w:p w14:paraId="2FCC63A8" w14:textId="77777777" w:rsidR="00D83309" w:rsidRPr="00091DC0" w:rsidRDefault="00D83309" w:rsidP="00091DC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180104" w14:textId="77777777" w:rsidR="00A93FE3" w:rsidRPr="00091DC0" w:rsidRDefault="00A93FE3" w:rsidP="00091DC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93FE3" w:rsidRPr="00091DC0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614"/>
    <w:multiLevelType w:val="hybridMultilevel"/>
    <w:tmpl w:val="6D4A2E5C"/>
    <w:lvl w:ilvl="0" w:tplc="B4245C1E">
      <w:start w:val="1"/>
      <w:numFmt w:val="bullet"/>
      <w:lvlText w:val="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4B7A"/>
    <w:multiLevelType w:val="hybridMultilevel"/>
    <w:tmpl w:val="A36ACAD2"/>
    <w:lvl w:ilvl="0" w:tplc="FFFFFFFF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</w:rPr>
    </w:lvl>
    <w:lvl w:ilvl="1" w:tplc="840EB2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35CC"/>
    <w:multiLevelType w:val="hybridMultilevel"/>
    <w:tmpl w:val="42182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F2CAB"/>
    <w:multiLevelType w:val="hybridMultilevel"/>
    <w:tmpl w:val="96F852B6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312E"/>
    <w:multiLevelType w:val="hybridMultilevel"/>
    <w:tmpl w:val="CC80C988"/>
    <w:lvl w:ilvl="0" w:tplc="EFFE6A3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C616B"/>
    <w:multiLevelType w:val="hybridMultilevel"/>
    <w:tmpl w:val="3C4A4056"/>
    <w:lvl w:ilvl="0" w:tplc="EFFE6A3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E6694"/>
    <w:multiLevelType w:val="hybridMultilevel"/>
    <w:tmpl w:val="185AAB88"/>
    <w:lvl w:ilvl="0" w:tplc="840EB2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F22CF"/>
    <w:multiLevelType w:val="hybridMultilevel"/>
    <w:tmpl w:val="2FF64194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27034"/>
    <w:multiLevelType w:val="hybridMultilevel"/>
    <w:tmpl w:val="BCEC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A4F44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064DC"/>
    <w:multiLevelType w:val="hybridMultilevel"/>
    <w:tmpl w:val="3D72BC9A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91611">
    <w:abstractNumId w:val="2"/>
  </w:num>
  <w:num w:numId="2" w16cid:durableId="1753894792">
    <w:abstractNumId w:val="7"/>
  </w:num>
  <w:num w:numId="3" w16cid:durableId="1451972963">
    <w:abstractNumId w:val="9"/>
  </w:num>
  <w:num w:numId="4" w16cid:durableId="1078137327">
    <w:abstractNumId w:val="3"/>
  </w:num>
  <w:num w:numId="5" w16cid:durableId="686103930">
    <w:abstractNumId w:val="0"/>
  </w:num>
  <w:num w:numId="6" w16cid:durableId="1637878674">
    <w:abstractNumId w:val="8"/>
  </w:num>
  <w:num w:numId="7" w16cid:durableId="743602635">
    <w:abstractNumId w:val="5"/>
  </w:num>
  <w:num w:numId="8" w16cid:durableId="1765686244">
    <w:abstractNumId w:val="4"/>
  </w:num>
  <w:num w:numId="9" w16cid:durableId="184683551">
    <w:abstractNumId w:val="6"/>
  </w:num>
  <w:num w:numId="10" w16cid:durableId="113568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43B16"/>
    <w:rsid w:val="00083618"/>
    <w:rsid w:val="000844FD"/>
    <w:rsid w:val="00091DC0"/>
    <w:rsid w:val="00154FC8"/>
    <w:rsid w:val="001A5EBA"/>
    <w:rsid w:val="001C2BDD"/>
    <w:rsid w:val="002060D5"/>
    <w:rsid w:val="0024262A"/>
    <w:rsid w:val="002C6A99"/>
    <w:rsid w:val="0039649B"/>
    <w:rsid w:val="004219E5"/>
    <w:rsid w:val="004A2B7B"/>
    <w:rsid w:val="004F6B12"/>
    <w:rsid w:val="0059093D"/>
    <w:rsid w:val="005D588F"/>
    <w:rsid w:val="00614CB2"/>
    <w:rsid w:val="00623057"/>
    <w:rsid w:val="006A5673"/>
    <w:rsid w:val="00750750"/>
    <w:rsid w:val="007D3A1B"/>
    <w:rsid w:val="00925C64"/>
    <w:rsid w:val="0094638C"/>
    <w:rsid w:val="00975BF3"/>
    <w:rsid w:val="00990C20"/>
    <w:rsid w:val="00995B8B"/>
    <w:rsid w:val="009B1D13"/>
    <w:rsid w:val="00A3683C"/>
    <w:rsid w:val="00A93FE3"/>
    <w:rsid w:val="00AA0619"/>
    <w:rsid w:val="00C000D3"/>
    <w:rsid w:val="00C119CD"/>
    <w:rsid w:val="00C21E84"/>
    <w:rsid w:val="00CA5503"/>
    <w:rsid w:val="00D120B8"/>
    <w:rsid w:val="00D81F78"/>
    <w:rsid w:val="00D83309"/>
    <w:rsid w:val="00E05A11"/>
    <w:rsid w:val="00E63E1E"/>
    <w:rsid w:val="00EB1E73"/>
    <w:rsid w:val="00EB4CC5"/>
    <w:rsid w:val="00F66C71"/>
    <w:rsid w:val="00FA25F6"/>
    <w:rsid w:val="00FB57A2"/>
    <w:rsid w:val="00FE0AD2"/>
    <w:rsid w:val="00FF22ED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E360"/>
  <w15:docId w15:val="{2C3120A8-A002-4319-A0C8-F8128A69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091DC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B1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1E7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50750"/>
    <w:rPr>
      <w:color w:val="0000FF"/>
      <w:u w:val="single"/>
    </w:rPr>
  </w:style>
  <w:style w:type="table" w:styleId="aa">
    <w:name w:val="Table Grid"/>
    <w:basedOn w:val="a1"/>
    <w:uiPriority w:val="59"/>
    <w:rsid w:val="00CA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1A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2023-03-08T16:11:00Z</cp:lastPrinted>
  <dcterms:created xsi:type="dcterms:W3CDTF">2014-01-14T13:02:00Z</dcterms:created>
  <dcterms:modified xsi:type="dcterms:W3CDTF">2023-03-08T16:12:00Z</dcterms:modified>
</cp:coreProperties>
</file>